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9099" w14:textId="342F9F92" w:rsidR="00FA38C2" w:rsidRPr="00FA38C2" w:rsidRDefault="00FA38C2" w:rsidP="00FA38C2">
      <w:pPr>
        <w:spacing w:after="0"/>
        <w:jc w:val="center"/>
        <w:rPr>
          <w:sz w:val="40"/>
          <w:szCs w:val="40"/>
          <w:lang w:val="en-US"/>
        </w:rPr>
      </w:pPr>
      <w:r w:rsidRPr="00FA38C2">
        <w:rPr>
          <w:b/>
          <w:sz w:val="40"/>
          <w:szCs w:val="40"/>
          <w:lang w:val="en-GB" w:bidi="en-GB"/>
        </w:rPr>
        <w:t xml:space="preserve">Template: 1. About the degree programme </w:t>
      </w:r>
      <w:r w:rsidR="00DE231B">
        <w:rPr>
          <w:b/>
          <w:sz w:val="40"/>
          <w:szCs w:val="40"/>
          <w:lang w:val="en-GB" w:bidi="en-GB"/>
        </w:rPr>
        <w:t>–</w:t>
      </w:r>
      <w:r w:rsidRPr="00FA38C2">
        <w:rPr>
          <w:b/>
          <w:sz w:val="40"/>
          <w:szCs w:val="40"/>
          <w:lang w:val="en-GB" w:bidi="en-GB"/>
        </w:rPr>
        <w:t xml:space="preserve"> Master</w:t>
      </w:r>
      <w:r w:rsidR="00DE231B">
        <w:rPr>
          <w:b/>
          <w:sz w:val="40"/>
          <w:szCs w:val="40"/>
          <w:lang w:val="en-GB" w:bidi="en-GB"/>
        </w:rPr>
        <w:t>’s</w:t>
      </w:r>
      <w:r w:rsidRPr="00FA38C2">
        <w:rPr>
          <w:b/>
          <w:sz w:val="40"/>
          <w:szCs w:val="40"/>
          <w:lang w:val="en-GB" w:bidi="en-GB"/>
        </w:rPr>
        <w:t xml:space="preserve"> degree </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467C09">
        <w:trPr>
          <w:trHeight w:val="456"/>
        </w:trPr>
        <w:tc>
          <w:tcPr>
            <w:tcW w:w="5000" w:type="pct"/>
            <w:shd w:val="clear" w:color="auto" w:fill="00ABA2"/>
            <w:vAlign w:val="center"/>
          </w:tcPr>
          <w:p w14:paraId="7318F752" w14:textId="78B23B28" w:rsidR="00467C09" w:rsidRPr="00DC5A30" w:rsidRDefault="00DC5A30" w:rsidP="004C09A7">
            <w:pPr>
              <w:pStyle w:val="Overskrift1"/>
              <w:spacing w:before="120" w:after="120"/>
              <w:jc w:val="center"/>
              <w:outlineLvl w:val="0"/>
              <w:rPr>
                <w:rStyle w:val="Normalformular"/>
                <w:rFonts w:cstheme="minorHAnsi"/>
                <w:color w:val="000000" w:themeColor="text1"/>
                <w:sz w:val="32"/>
              </w:rPr>
            </w:pPr>
            <w:r w:rsidRPr="00DC5A30">
              <w:rPr>
                <w:rFonts w:asciiTheme="minorHAnsi" w:hAnsiTheme="minorHAnsi" w:cstheme="minorHAnsi"/>
                <w:color w:val="000000" w:themeColor="text1"/>
                <w:lang w:val="en-GB" w:bidi="en-GB"/>
              </w:rPr>
              <w:t>Degree programme</w:t>
            </w:r>
          </w:p>
        </w:tc>
      </w:tr>
      <w:tr w:rsidR="00467C09" w:rsidRPr="00FA38C2" w14:paraId="63E33FEC" w14:textId="77777777" w:rsidTr="00467C09">
        <w:trPr>
          <w:trHeight w:val="456"/>
        </w:trPr>
        <w:tc>
          <w:tcPr>
            <w:tcW w:w="5000" w:type="pct"/>
            <w:shd w:val="clear" w:color="auto" w:fill="auto"/>
            <w:vAlign w:val="center"/>
          </w:tcPr>
          <w:p w14:paraId="49FF5817" w14:textId="609AC66E" w:rsidR="00467C09" w:rsidRPr="00DC5A30" w:rsidRDefault="00DE231B" w:rsidP="00004653">
            <w:pPr>
              <w:spacing w:before="120" w:after="120"/>
              <w:rPr>
                <w:rStyle w:val="Normalformular"/>
                <w:color w:val="808080" w:themeColor="background1" w:themeShade="80"/>
                <w:sz w:val="24"/>
                <w:szCs w:val="24"/>
                <w:lang w:val="en-US"/>
              </w:rPr>
            </w:pPr>
            <w:r w:rsidRPr="00E05CF7">
              <w:rPr>
                <w:rStyle w:val="Normalformular"/>
                <w:color w:val="808080" w:themeColor="background1" w:themeShade="80"/>
                <w:sz w:val="24"/>
                <w:szCs w:val="24"/>
                <w:lang w:val="en-GB" w:bidi="en-GB"/>
              </w:rPr>
              <w:t>Click and state here which degree programme the course belongs to. For instance: “Master’s degree programme in history”</w:t>
            </w:r>
          </w:p>
        </w:tc>
      </w:tr>
    </w:tbl>
    <w:p w14:paraId="4BB47EEC" w14:textId="77777777" w:rsidR="00467C09" w:rsidRPr="00DC5A30" w:rsidRDefault="00467C09" w:rsidP="004C09A7">
      <w:pPr>
        <w:spacing w:before="120" w:after="120" w:line="240" w:lineRule="auto"/>
        <w:rPr>
          <w:b/>
          <w:sz w:val="2"/>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004653" w14:paraId="10B92892" w14:textId="77777777" w:rsidTr="004C09A7">
        <w:trPr>
          <w:trHeight w:val="564"/>
        </w:trPr>
        <w:tc>
          <w:tcPr>
            <w:tcW w:w="5000" w:type="pct"/>
            <w:shd w:val="clear" w:color="auto" w:fill="00ABA4"/>
            <w:vAlign w:val="center"/>
          </w:tcPr>
          <w:p w14:paraId="3DF8E6C0" w14:textId="48511087" w:rsidR="00662226" w:rsidRPr="00DC5A30" w:rsidRDefault="00004653" w:rsidP="00B27B77">
            <w:pPr>
              <w:spacing w:before="120" w:after="120"/>
              <w:ind w:left="720"/>
              <w:jc w:val="center"/>
              <w:rPr>
                <w:rStyle w:val="Normalformular"/>
                <w:rFonts w:cstheme="minorHAnsi"/>
                <w:sz w:val="32"/>
                <w:szCs w:val="32"/>
                <w:lang w:val="en-US"/>
              </w:rPr>
            </w:pPr>
            <w:hyperlink w:anchor="Uddannelsens" w:tooltip="Described in section 1.1 of the academic regulations, and should give the reader a general impression of the objectives, content and relevance of the degree programme, the expected key competences of graduates, and the labour market targeted by the degree prog" w:history="1">
              <w:r w:rsidR="00DC5A30" w:rsidRPr="00DC5A30">
                <w:rPr>
                  <w:rStyle w:val="Hyperlink"/>
                  <w:rFonts w:eastAsia="Times New Roman" w:cstheme="minorHAnsi"/>
                  <w:color w:val="000000" w:themeColor="text1"/>
                  <w:sz w:val="28"/>
                  <w:szCs w:val="24"/>
                  <w:u w:val="none"/>
                  <w:lang w:val="en-GB" w:bidi="en-GB"/>
                </w:rPr>
                <w:t>1.1 Academic direction and primary subject areas of the programme</w:t>
              </w:r>
              <w:bookmarkStart w:id="0" w:name="Uddannelsens"/>
              <w:bookmarkEnd w:id="0"/>
              <w:r w:rsidR="00DC5A30" w:rsidRPr="00DC5A30">
                <w:rPr>
                  <w:rStyle w:val="Hyperlink"/>
                  <w:rFonts w:eastAsia="Times New Roman" w:cstheme="minorHAnsi"/>
                  <w:color w:val="000000" w:themeColor="text1"/>
                  <w:sz w:val="28"/>
                  <w:szCs w:val="24"/>
                  <w:u w:val="none"/>
                  <w:lang w:val="en-GB" w:bidi="en-GB"/>
                </w:rPr>
                <w:t xml:space="preserve"> </w:t>
              </w:r>
              <w:r w:rsidR="00DC5A30" w:rsidRPr="00DC5A30">
                <w:rPr>
                  <w:rStyle w:val="Hyperlink"/>
                  <w:rFonts w:cstheme="minorHAnsi"/>
                  <w:color w:val="000000" w:themeColor="text1"/>
                  <w:sz w:val="32"/>
                  <w:u w:val="none"/>
                  <w:lang w:val="en-GB" w:bidi="en-GB"/>
                </w:rPr>
                <w:sym w:font="Webdings" w:char="F069"/>
              </w:r>
            </w:hyperlink>
          </w:p>
        </w:tc>
      </w:tr>
      <w:tr w:rsidR="00DE231B" w:rsidRPr="00004653" w14:paraId="339841F2" w14:textId="77777777" w:rsidTr="00467C09">
        <w:trPr>
          <w:trHeight w:val="651"/>
        </w:trPr>
        <w:tc>
          <w:tcPr>
            <w:tcW w:w="5000" w:type="pct"/>
            <w:shd w:val="clear" w:color="auto" w:fill="auto"/>
            <w:vAlign w:val="center"/>
          </w:tcPr>
          <w:p w14:paraId="0FF7E1A5" w14:textId="13A330C1" w:rsidR="00DE231B" w:rsidRPr="00FA38C2" w:rsidRDefault="00004653" w:rsidP="000A3862">
            <w:pPr>
              <w:jc w:val="center"/>
              <w:rPr>
                <w:rStyle w:val="Normalformular"/>
                <w:color w:val="808080" w:themeColor="background1" w:themeShade="80"/>
                <w:sz w:val="24"/>
                <w:szCs w:val="24"/>
                <w:lang w:val="en-US"/>
              </w:rPr>
            </w:pPr>
            <w:hyperlink w:anchor="Uddannelsens" w:tooltip="Described in section 1.1 of the academic regulations, and should give the reader a general impression of the objectives, content and relevance of the degree programme, the expected key competences of graduates, and the labour market targeted by the degree prog" w:history="1">
              <w:r w:rsidR="00DE231B" w:rsidRPr="0096653D">
                <w:rPr>
                  <w:b/>
                  <w:sz w:val="28"/>
                  <w:lang w:val="en-GB" w:bidi="en-GB"/>
                </w:rPr>
                <w:t>1.1</w:t>
              </w:r>
              <w:r w:rsidR="00DE231B" w:rsidRPr="0096653D">
                <w:rPr>
                  <w:rStyle w:val="Hyperlink"/>
                  <w:rFonts w:eastAsia="Times New Roman" w:cs="Times New Roman"/>
                  <w:b/>
                  <w:color w:val="auto"/>
                  <w:sz w:val="28"/>
                  <w:szCs w:val="24"/>
                  <w:u w:val="none"/>
                  <w:lang w:val="en-GB" w:bidi="en-GB"/>
                </w:rPr>
                <w:t xml:space="preserve"> Academic direction and primary subject areas of the programme </w:t>
              </w:r>
              <w:r w:rsidR="00DE231B" w:rsidRPr="00566B68">
                <w:rPr>
                  <w:rStyle w:val="Hyperlink"/>
                  <w:color w:val="0070C0"/>
                  <w:sz w:val="32"/>
                  <w:u w:val="none"/>
                  <w:lang w:val="en-GB" w:bidi="en-GB"/>
                </w:rPr>
                <w:sym w:font="Webdings" w:char="F069"/>
              </w:r>
            </w:hyperlink>
          </w:p>
        </w:tc>
      </w:tr>
      <w:tr w:rsidR="00DE231B" w:rsidRPr="00004653" w14:paraId="5E351C8A" w14:textId="77777777" w:rsidTr="00467C09">
        <w:trPr>
          <w:trHeight w:val="651"/>
        </w:trPr>
        <w:tc>
          <w:tcPr>
            <w:tcW w:w="5000" w:type="pct"/>
            <w:shd w:val="clear" w:color="auto" w:fill="auto"/>
            <w:vAlign w:val="center"/>
          </w:tcPr>
          <w:p w14:paraId="3694C0A3" w14:textId="77777777" w:rsidR="00DE231B" w:rsidRPr="00DE231B" w:rsidRDefault="00DE231B" w:rsidP="00DE231B">
            <w:pPr>
              <w:rPr>
                <w:rStyle w:val="Normalformular"/>
                <w:color w:val="808080" w:themeColor="background1" w:themeShade="80"/>
                <w:sz w:val="24"/>
                <w:szCs w:val="24"/>
                <w:lang w:val="en-US"/>
              </w:rPr>
            </w:pPr>
            <w:r w:rsidRPr="00E05CF7">
              <w:rPr>
                <w:rStyle w:val="Normalformular"/>
                <w:color w:val="808080" w:themeColor="background1" w:themeShade="80"/>
                <w:sz w:val="24"/>
                <w:szCs w:val="24"/>
                <w:lang w:val="en-GB" w:bidi="en-GB"/>
              </w:rPr>
              <w:t>For instance, you could write: “The aim of the Master’s degree programme in _____ is to develop the student’s knowledge, skills and competences in _____ with a view to preparing them for professions within _____.”</w:t>
            </w:r>
          </w:p>
          <w:p w14:paraId="03AEF347" w14:textId="77777777" w:rsidR="00DE231B" w:rsidRPr="00DE231B" w:rsidRDefault="00DE231B" w:rsidP="00DE231B">
            <w:pPr>
              <w:rPr>
                <w:rStyle w:val="Normalformular"/>
                <w:color w:val="808080" w:themeColor="background1" w:themeShade="80"/>
                <w:sz w:val="24"/>
                <w:szCs w:val="24"/>
                <w:lang w:val="en-US"/>
              </w:rPr>
            </w:pPr>
          </w:p>
          <w:p w14:paraId="5EFAFFD3" w14:textId="69B797E6" w:rsidR="00DE231B" w:rsidRPr="00DE231B" w:rsidRDefault="00DE231B" w:rsidP="00DE231B">
            <w:pPr>
              <w:rPr>
                <w:lang w:val="en-US"/>
              </w:rPr>
            </w:pPr>
            <w:r w:rsidRPr="00E05CF7">
              <w:rPr>
                <w:rStyle w:val="Normalformular"/>
                <w:color w:val="808080" w:themeColor="background1" w:themeShade="80"/>
                <w:sz w:val="24"/>
                <w:szCs w:val="24"/>
                <w:lang w:val="en-GB" w:bidi="en-GB"/>
              </w:rPr>
              <w:t>For instance: “The Master’s degree programme in ___ includes studies in ___, ___ and ___.</w:t>
            </w:r>
          </w:p>
        </w:tc>
      </w:tr>
    </w:tbl>
    <w:p w14:paraId="10B88C7F" w14:textId="77777777" w:rsidR="00B27B77" w:rsidRPr="00FA38C2" w:rsidRDefault="00B27B77">
      <w:pPr>
        <w:rPr>
          <w:sz w:val="2"/>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4C09A7">
        <w:trPr>
          <w:trHeight w:val="607"/>
        </w:trPr>
        <w:tc>
          <w:tcPr>
            <w:tcW w:w="5000" w:type="pct"/>
            <w:gridSpan w:val="2"/>
            <w:shd w:val="clear" w:color="auto" w:fill="00ABA4"/>
            <w:vAlign w:val="center"/>
          </w:tcPr>
          <w:p w14:paraId="7326B3EF" w14:textId="393884E7" w:rsidR="004C09A7" w:rsidRPr="00DC5A30" w:rsidRDefault="00DC5A30" w:rsidP="00777137">
            <w:pPr>
              <w:spacing w:before="120" w:after="120"/>
              <w:jc w:val="center"/>
              <w:rPr>
                <w:rStyle w:val="Normalformular"/>
                <w:rFonts w:cstheme="minorHAnsi"/>
                <w:color w:val="0563C1" w:themeColor="hyperlink"/>
                <w:sz w:val="32"/>
                <w:szCs w:val="32"/>
              </w:rPr>
            </w:pPr>
            <w:r w:rsidRPr="00DC5A30">
              <w:rPr>
                <w:sz w:val="32"/>
                <w:szCs w:val="32"/>
                <w:lang w:val="en-GB" w:bidi="en-GB"/>
              </w:rPr>
              <w:t xml:space="preserve">1.2 </w:t>
            </w:r>
            <w:hyperlink w:anchor="Kompetenceprofil" w:tooltip="The learning outcomes can be found in section 1.2 of the academic regulations and are stated in the student’s exam certificate. They must explain the topics covered by the degree programme to students, teachers and potential employers, as well as the academic " w:history="1">
              <w:r w:rsidRPr="00DC5A30">
                <w:rPr>
                  <w:rStyle w:val="Hyperlink"/>
                  <w:color w:val="auto"/>
                  <w:sz w:val="32"/>
                  <w:szCs w:val="32"/>
                  <w:u w:val="none"/>
                  <w:lang w:val="en-GB" w:bidi="en-GB"/>
                </w:rPr>
                <w:t xml:space="preserve">Learning outcomes </w:t>
              </w:r>
              <w:r w:rsidRPr="00DC5A30">
                <w:rPr>
                  <w:rStyle w:val="Hyperlink"/>
                  <w:sz w:val="32"/>
                  <w:szCs w:val="32"/>
                  <w:u w:val="none"/>
                  <w:lang w:val="en-GB" w:bidi="en-GB"/>
                </w:rPr>
                <w:sym w:font="Webdings" w:char="F069"/>
              </w:r>
              <w:bookmarkStart w:id="1" w:name="Kompetenceprofil"/>
              <w:bookmarkEnd w:id="1"/>
            </w:hyperlink>
          </w:p>
        </w:tc>
      </w:tr>
      <w:tr w:rsidR="00DE231B" w:rsidRPr="00004653" w14:paraId="1BD04894" w14:textId="77777777" w:rsidTr="00467C09">
        <w:trPr>
          <w:trHeight w:val="517"/>
        </w:trPr>
        <w:tc>
          <w:tcPr>
            <w:tcW w:w="1755" w:type="pct"/>
            <w:shd w:val="clear" w:color="auto" w:fill="F6F4F8"/>
          </w:tcPr>
          <w:p w14:paraId="3F15076F" w14:textId="638783CC" w:rsidR="00DE231B" w:rsidRPr="00DC5A30" w:rsidRDefault="00004653" w:rsidP="00DE231B">
            <w:pPr>
              <w:spacing w:before="120" w:after="120"/>
              <w:rPr>
                <w:rStyle w:val="Normalformular"/>
                <w:lang w:val="en-US"/>
              </w:rPr>
            </w:pPr>
            <w:hyperlink w:anchor="Kvalifikationsramme" w:tooltip="The learning outcomes should reflect the ministry’s qualification framework for higher education with a view to ensuring that the learning outcomes and complexity align with the level of education. The qualification framework can be found in the column below." w:history="1">
              <w:r w:rsidR="00DE231B" w:rsidRPr="0059529A">
                <w:rPr>
                  <w:rStyle w:val="Hyperlink"/>
                  <w:b/>
                  <w:color w:val="auto"/>
                  <w:sz w:val="24"/>
                  <w:szCs w:val="24"/>
                  <w:u w:val="none"/>
                  <w:lang w:val="en-GB" w:bidi="en-GB"/>
                </w:rPr>
                <w:t xml:space="preserve">Qualification framework for </w:t>
              </w:r>
              <w:bookmarkStart w:id="2" w:name="Kvalifikationsramme"/>
              <w:bookmarkEnd w:id="2"/>
              <w:r w:rsidR="00DE231B" w:rsidRPr="0059529A">
                <w:rPr>
                  <w:rStyle w:val="Hyperlink"/>
                  <w:b/>
                  <w:color w:val="auto"/>
                  <w:sz w:val="24"/>
                  <w:szCs w:val="24"/>
                  <w:u w:val="none"/>
                  <w:lang w:val="en-GB" w:bidi="en-GB"/>
                </w:rPr>
                <w:t>Higher Education – Master’s degree level:</w:t>
              </w:r>
              <w:r w:rsidR="00DE231B" w:rsidRPr="0059529A">
                <w:rPr>
                  <w:rStyle w:val="Hyperlink"/>
                  <w:u w:val="none"/>
                  <w:lang w:val="en-GB" w:bidi="en-GB"/>
                </w:rPr>
                <w:t xml:space="preserve"> </w:t>
              </w:r>
              <w:r w:rsidR="00DE231B" w:rsidRPr="0059529A">
                <w:rPr>
                  <w:rStyle w:val="Hyperlink"/>
                  <w:sz w:val="24"/>
                  <w:u w:val="none"/>
                  <w:lang w:val="en-GB" w:bidi="en-GB"/>
                </w:rPr>
                <w:sym w:font="Webdings" w:char="F069"/>
              </w:r>
            </w:hyperlink>
          </w:p>
        </w:tc>
        <w:tc>
          <w:tcPr>
            <w:tcW w:w="3245" w:type="pct"/>
            <w:shd w:val="clear" w:color="auto" w:fill="auto"/>
          </w:tcPr>
          <w:p w14:paraId="24CB06CA" w14:textId="5A5A916C" w:rsidR="00DE231B" w:rsidRPr="00DC5A30" w:rsidRDefault="00004653" w:rsidP="00DE231B">
            <w:pPr>
              <w:spacing w:before="120" w:after="120"/>
              <w:rPr>
                <w:color w:val="808080" w:themeColor="background1" w:themeShade="80"/>
                <w:lang w:val="en-US"/>
              </w:rPr>
            </w:pPr>
            <w:hyperlink w:anchor="viden_færdigheder_kompetencer" w:tooltip="The learning outcomes should reflect the courses and academic objectives of the programme, and should be listed under three categories: knowledge, skills and competences." w:history="1">
              <w:r w:rsidR="00DE231B" w:rsidRPr="007B65DE">
                <w:rPr>
                  <w:rStyle w:val="Hyperlink"/>
                  <w:color w:val="808080" w:themeColor="background1" w:themeShade="80"/>
                  <w:sz w:val="24"/>
                  <w:szCs w:val="24"/>
                  <w:u w:val="none"/>
                  <w:lang w:val="en-GB" w:bidi="en-GB"/>
                </w:rPr>
                <w:t xml:space="preserve">Students acquire the following knowledge, skills and competences during the </w:t>
              </w:r>
              <w:r w:rsidR="00DE231B">
                <w:rPr>
                  <w:rStyle w:val="Hyperlink"/>
                  <w:color w:val="808080" w:themeColor="background1" w:themeShade="80"/>
                  <w:sz w:val="24"/>
                  <w:szCs w:val="24"/>
                  <w:u w:val="none"/>
                  <w:lang w:val="en-GB" w:bidi="en-GB"/>
                </w:rPr>
                <w:t>Master’s degree programme in</w:t>
              </w:r>
              <w:r w:rsidR="00DE231B" w:rsidRPr="007B65DE">
                <w:rPr>
                  <w:rStyle w:val="Hyperlink"/>
                  <w:color w:val="808080" w:themeColor="background1" w:themeShade="80"/>
                  <w:sz w:val="24"/>
                  <w:szCs w:val="24"/>
                  <w:u w:val="none"/>
                  <w:lang w:val="en-GB" w:bidi="en-GB"/>
                </w:rPr>
                <w:t>:</w:t>
              </w:r>
              <w:r w:rsidR="00DE231B" w:rsidRPr="0059529A">
                <w:rPr>
                  <w:rStyle w:val="Hyperlink"/>
                  <w:color w:val="auto"/>
                  <w:u w:val="none"/>
                  <w:lang w:val="en-GB" w:bidi="en-GB"/>
                </w:rPr>
                <w:t xml:space="preserve"> </w:t>
              </w:r>
              <w:r w:rsidR="00DE231B" w:rsidRPr="0059529A">
                <w:rPr>
                  <w:rStyle w:val="Hyperlink"/>
                  <w:u w:val="none"/>
                  <w:lang w:val="en-GB" w:bidi="en-GB"/>
                </w:rPr>
                <w:sym w:font="Webdings" w:char="F069"/>
              </w:r>
            </w:hyperlink>
            <w:bookmarkStart w:id="3" w:name="viden_færdigheder_kompetencer"/>
            <w:bookmarkEnd w:id="3"/>
          </w:p>
        </w:tc>
      </w:tr>
      <w:tr w:rsidR="00CE6E6F" w:rsidRPr="00112C72" w14:paraId="61895FF2" w14:textId="77777777" w:rsidTr="00467C09">
        <w:trPr>
          <w:trHeight w:val="390"/>
        </w:trPr>
        <w:tc>
          <w:tcPr>
            <w:tcW w:w="5000" w:type="pct"/>
            <w:gridSpan w:val="2"/>
            <w:shd w:val="clear" w:color="auto" w:fill="F6F4F8"/>
          </w:tcPr>
          <w:p w14:paraId="6AB94B44" w14:textId="058FBCF9" w:rsidR="00CE6E6F" w:rsidRPr="00EE7F39" w:rsidRDefault="00DC5A30" w:rsidP="004C09A7">
            <w:pPr>
              <w:spacing w:before="120" w:after="120"/>
              <w:jc w:val="center"/>
              <w:rPr>
                <w:b/>
                <w:sz w:val="24"/>
                <w:szCs w:val="24"/>
              </w:rPr>
            </w:pPr>
            <w:r w:rsidRPr="00EE7F39">
              <w:rPr>
                <w:b/>
                <w:sz w:val="24"/>
                <w:szCs w:val="24"/>
                <w:lang w:val="en-GB" w:bidi="en-GB"/>
              </w:rPr>
              <w:t>Knowledge:</w:t>
            </w:r>
          </w:p>
        </w:tc>
      </w:tr>
      <w:tr w:rsidR="00004653" w:rsidRPr="00112C72" w14:paraId="3A0C2D05" w14:textId="77777777" w:rsidTr="00467C09">
        <w:trPr>
          <w:trHeight w:val="818"/>
        </w:trPr>
        <w:tc>
          <w:tcPr>
            <w:tcW w:w="1755" w:type="pct"/>
            <w:shd w:val="clear" w:color="auto" w:fill="F6F4F8"/>
          </w:tcPr>
          <w:p w14:paraId="207D1D66" w14:textId="597B0CCE" w:rsidR="00004653" w:rsidRPr="00DC5A30" w:rsidRDefault="00004653" w:rsidP="00004653">
            <w:pPr>
              <w:spacing w:before="120" w:after="120"/>
              <w:rPr>
                <w:rStyle w:val="Normalformular"/>
                <w:b/>
                <w:lang w:val="en-US"/>
              </w:rPr>
            </w:pPr>
            <w:r w:rsidRPr="006217D3">
              <w:rPr>
                <w:rStyle w:val="Normalformular"/>
                <w:szCs w:val="24"/>
                <w:lang w:val="en-GB" w:bidi="en-GB"/>
              </w:rPr>
              <w:t>Knowledge of one or more subject areas which, in selected fields, are based on the highest international research within a subject area.</w:t>
            </w:r>
          </w:p>
        </w:tc>
        <w:tc>
          <w:tcPr>
            <w:tcW w:w="3245" w:type="pct"/>
            <w:shd w:val="clear" w:color="auto" w:fill="auto"/>
          </w:tcPr>
          <w:p w14:paraId="02E8DA52" w14:textId="73F51EF6" w:rsidR="00004653" w:rsidRPr="00467C09" w:rsidRDefault="00004653" w:rsidP="00004653">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004653" w:rsidRPr="00112C72" w14:paraId="42E45A25" w14:textId="77777777" w:rsidTr="00467C09">
        <w:trPr>
          <w:trHeight w:val="560"/>
        </w:trPr>
        <w:tc>
          <w:tcPr>
            <w:tcW w:w="1755" w:type="pct"/>
            <w:shd w:val="clear" w:color="auto" w:fill="F6F4F8"/>
          </w:tcPr>
          <w:p w14:paraId="0027D943" w14:textId="13D60CBD" w:rsidR="00004653" w:rsidRPr="00DC5A30" w:rsidRDefault="00004653" w:rsidP="00004653">
            <w:pPr>
              <w:spacing w:before="120" w:after="120"/>
              <w:rPr>
                <w:rStyle w:val="Normalformular"/>
                <w:lang w:val="en-US"/>
              </w:rPr>
            </w:pPr>
            <w:r w:rsidRPr="006217D3">
              <w:rPr>
                <w:rStyle w:val="Normalformular"/>
                <w:szCs w:val="24"/>
                <w:lang w:val="en-GB" w:bidi="en-GB"/>
              </w:rPr>
              <w:t>Understanding of and the ability to reflect on the knowledge of the subject area(s) on an academic basis, and the ability to identify academic issues.</w:t>
            </w:r>
          </w:p>
        </w:tc>
        <w:tc>
          <w:tcPr>
            <w:tcW w:w="3245" w:type="pct"/>
            <w:shd w:val="clear" w:color="auto" w:fill="auto"/>
          </w:tcPr>
          <w:p w14:paraId="13C68B8D" w14:textId="1DB1AF0B" w:rsidR="00004653" w:rsidRPr="002C00B4" w:rsidRDefault="00004653" w:rsidP="00004653">
            <w:pPr>
              <w:spacing w:before="120" w:after="120"/>
              <w:rPr>
                <w:color w:val="808080" w:themeColor="background1" w:themeShade="80"/>
              </w:rPr>
            </w:pPr>
            <w:r>
              <w:rPr>
                <w:rStyle w:val="Normalformular"/>
                <w:color w:val="808080" w:themeColor="background1" w:themeShade="80"/>
              </w:rPr>
              <w:t xml:space="preserve">- </w:t>
            </w:r>
            <w:bookmarkStart w:id="4" w:name="_GoBack"/>
            <w:bookmarkEnd w:id="4"/>
          </w:p>
        </w:tc>
      </w:tr>
      <w:tr w:rsidR="003358B0" w:rsidRPr="00112C72" w14:paraId="003C6F3D" w14:textId="77777777" w:rsidTr="00467C09">
        <w:trPr>
          <w:trHeight w:val="287"/>
        </w:trPr>
        <w:tc>
          <w:tcPr>
            <w:tcW w:w="5000" w:type="pct"/>
            <w:gridSpan w:val="2"/>
            <w:shd w:val="clear" w:color="auto" w:fill="F6F4F8"/>
          </w:tcPr>
          <w:p w14:paraId="0F3BB286" w14:textId="22B89A32" w:rsidR="003358B0" w:rsidRPr="00EE7F39" w:rsidRDefault="00DC5A30" w:rsidP="004C09A7">
            <w:pPr>
              <w:spacing w:before="120" w:after="120"/>
              <w:jc w:val="center"/>
              <w:rPr>
                <w:b/>
                <w:sz w:val="24"/>
                <w:szCs w:val="24"/>
              </w:rPr>
            </w:pPr>
            <w:r w:rsidRPr="00EE7F39">
              <w:rPr>
                <w:b/>
                <w:sz w:val="24"/>
                <w:szCs w:val="24"/>
                <w:lang w:val="en-GB" w:bidi="en-GB"/>
              </w:rPr>
              <w:t>Skills:</w:t>
            </w:r>
          </w:p>
        </w:tc>
      </w:tr>
      <w:tr w:rsidR="00004653" w:rsidRPr="00112C72" w14:paraId="5B9F6F0D" w14:textId="77777777" w:rsidTr="00467C09">
        <w:trPr>
          <w:trHeight w:val="1248"/>
        </w:trPr>
        <w:tc>
          <w:tcPr>
            <w:tcW w:w="1755" w:type="pct"/>
            <w:shd w:val="clear" w:color="auto" w:fill="F6F4F8"/>
          </w:tcPr>
          <w:p w14:paraId="4D630EF2" w14:textId="53197761" w:rsidR="00004653" w:rsidRPr="00DC5A30" w:rsidRDefault="00004653" w:rsidP="00004653">
            <w:pPr>
              <w:spacing w:before="120" w:after="120"/>
              <w:rPr>
                <w:lang w:val="en-US"/>
              </w:rPr>
            </w:pPr>
            <w:r w:rsidRPr="006217D3">
              <w:rPr>
                <w:rStyle w:val="Normalformular"/>
                <w:szCs w:val="24"/>
                <w:lang w:val="en-GB" w:bidi="en-GB"/>
              </w:rPr>
              <w:t>The ability to master the academic methods and tools of the subject area(s) and to master general skills associated with employment within the subject area(s).</w:t>
            </w:r>
          </w:p>
        </w:tc>
        <w:tc>
          <w:tcPr>
            <w:tcW w:w="3245" w:type="pct"/>
            <w:shd w:val="clear" w:color="auto" w:fill="auto"/>
          </w:tcPr>
          <w:p w14:paraId="2513CBCF" w14:textId="77777777" w:rsidR="00004653" w:rsidRPr="00467C09" w:rsidRDefault="00004653" w:rsidP="00004653">
            <w:pPr>
              <w:pStyle w:val="Opstilling-punkttegn"/>
              <w:numPr>
                <w:ilvl w:val="0"/>
                <w:numId w:val="0"/>
              </w:numPr>
              <w:spacing w:before="120" w:after="120" w:line="240" w:lineRule="auto"/>
              <w:rPr>
                <w:rStyle w:val="Normalformular"/>
                <w:color w:val="808080" w:themeColor="background1" w:themeShade="80"/>
              </w:rPr>
            </w:pPr>
            <w:r>
              <w:rPr>
                <w:rStyle w:val="Normalformular"/>
                <w:color w:val="808080" w:themeColor="background1" w:themeShade="80"/>
              </w:rPr>
              <w:t xml:space="preserve">- </w:t>
            </w:r>
          </w:p>
          <w:p w14:paraId="7908A499" w14:textId="130599BC" w:rsidR="00004653" w:rsidRPr="00467C09" w:rsidRDefault="00004653" w:rsidP="00004653">
            <w:pPr>
              <w:pStyle w:val="Opstilling-punkttegn"/>
              <w:numPr>
                <w:ilvl w:val="0"/>
                <w:numId w:val="0"/>
              </w:numPr>
              <w:spacing w:before="120" w:after="120" w:line="240" w:lineRule="auto"/>
              <w:ind w:left="360" w:hanging="360"/>
              <w:rPr>
                <w:rStyle w:val="Normalformular"/>
                <w:color w:val="808080" w:themeColor="background1" w:themeShade="80"/>
              </w:rPr>
            </w:pPr>
          </w:p>
        </w:tc>
      </w:tr>
      <w:tr w:rsidR="00004653" w:rsidRPr="00112C72" w14:paraId="581AE3B9" w14:textId="77777777" w:rsidTr="00467C09">
        <w:trPr>
          <w:trHeight w:val="1004"/>
        </w:trPr>
        <w:tc>
          <w:tcPr>
            <w:tcW w:w="1755" w:type="pct"/>
            <w:shd w:val="clear" w:color="auto" w:fill="F6F4F8"/>
          </w:tcPr>
          <w:p w14:paraId="0E742E1A" w14:textId="16939DA1" w:rsidR="00004653" w:rsidRPr="00DC5A30" w:rsidRDefault="00004653" w:rsidP="00004653">
            <w:pPr>
              <w:spacing w:before="120" w:after="120"/>
              <w:rPr>
                <w:rStyle w:val="Normalformular"/>
                <w:lang w:val="en-US"/>
              </w:rPr>
            </w:pPr>
            <w:r w:rsidRPr="006217D3">
              <w:rPr>
                <w:rStyle w:val="Normalformular"/>
                <w:szCs w:val="24"/>
                <w:lang w:val="en-GB" w:bidi="en-GB"/>
              </w:rPr>
              <w:t xml:space="preserve">The ability to assess and choose between the academic theories, methods, tools and general skills of </w:t>
            </w:r>
            <w:r w:rsidRPr="006217D3">
              <w:rPr>
                <w:rStyle w:val="Normalformular"/>
                <w:szCs w:val="24"/>
                <w:lang w:val="en-GB" w:bidi="en-GB"/>
              </w:rPr>
              <w:lastRenderedPageBreak/>
              <w:t>the subject area(s), as well as proposing new models for analysis and solutions on an academic basis.</w:t>
            </w:r>
          </w:p>
        </w:tc>
        <w:tc>
          <w:tcPr>
            <w:tcW w:w="3245" w:type="pct"/>
            <w:shd w:val="clear" w:color="auto" w:fill="auto"/>
          </w:tcPr>
          <w:p w14:paraId="1A194FE6" w14:textId="037E9679" w:rsidR="00004653" w:rsidRPr="002C00B4" w:rsidRDefault="00004653" w:rsidP="00004653">
            <w:pPr>
              <w:pStyle w:val="Opstilling-punkttegn"/>
              <w:numPr>
                <w:ilvl w:val="0"/>
                <w:numId w:val="0"/>
              </w:numPr>
              <w:spacing w:before="120" w:after="120" w:line="240" w:lineRule="auto"/>
              <w:ind w:left="360" w:hanging="360"/>
              <w:rPr>
                <w:color w:val="808080" w:themeColor="background1" w:themeShade="80"/>
              </w:rPr>
            </w:pPr>
            <w:r>
              <w:rPr>
                <w:rStyle w:val="Normalformular"/>
                <w:color w:val="808080" w:themeColor="background1" w:themeShade="80"/>
              </w:rPr>
              <w:lastRenderedPageBreak/>
              <w:t xml:space="preserve">- </w:t>
            </w:r>
          </w:p>
        </w:tc>
      </w:tr>
      <w:tr w:rsidR="00004653" w:rsidRPr="00112C72" w14:paraId="6769A12A" w14:textId="77777777" w:rsidTr="00467C09">
        <w:trPr>
          <w:trHeight w:val="703"/>
        </w:trPr>
        <w:tc>
          <w:tcPr>
            <w:tcW w:w="1755" w:type="pct"/>
            <w:shd w:val="clear" w:color="auto" w:fill="F6F4F8"/>
          </w:tcPr>
          <w:p w14:paraId="1A9F20C0" w14:textId="7BC810DD" w:rsidR="00004653" w:rsidRPr="00DC5A30" w:rsidRDefault="00004653" w:rsidP="00004653">
            <w:pPr>
              <w:spacing w:before="120" w:after="120"/>
              <w:rPr>
                <w:rStyle w:val="Normalformular"/>
                <w:lang w:val="en-US"/>
              </w:rPr>
            </w:pPr>
            <w:r w:rsidRPr="006217D3">
              <w:rPr>
                <w:rStyle w:val="Normalformular"/>
                <w:szCs w:val="24"/>
                <w:lang w:val="en-GB" w:bidi="en-GB"/>
              </w:rPr>
              <w:t>The ability to communicate research-based knowledge and discuss professional and academic issues with both specialists and non-specialists.</w:t>
            </w:r>
          </w:p>
        </w:tc>
        <w:tc>
          <w:tcPr>
            <w:tcW w:w="3245" w:type="pct"/>
            <w:shd w:val="clear" w:color="auto" w:fill="auto"/>
          </w:tcPr>
          <w:p w14:paraId="65B838D8" w14:textId="2A5F645E" w:rsidR="00004653" w:rsidRPr="00A54CAE" w:rsidRDefault="00004653" w:rsidP="00004653">
            <w:r>
              <w:rPr>
                <w:rStyle w:val="Normalformular"/>
                <w:color w:val="808080" w:themeColor="background1" w:themeShade="80"/>
              </w:rPr>
              <w:t xml:space="preserve">- </w:t>
            </w:r>
          </w:p>
        </w:tc>
      </w:tr>
      <w:tr w:rsidR="003358B0" w:rsidRPr="00112C72" w14:paraId="52243768" w14:textId="77777777" w:rsidTr="00467C09">
        <w:trPr>
          <w:trHeight w:val="336"/>
        </w:trPr>
        <w:tc>
          <w:tcPr>
            <w:tcW w:w="5000" w:type="pct"/>
            <w:gridSpan w:val="2"/>
            <w:shd w:val="clear" w:color="auto" w:fill="F6F4F8"/>
          </w:tcPr>
          <w:p w14:paraId="706AF41F" w14:textId="06FCD3CF" w:rsidR="003358B0" w:rsidRPr="00EE7F39" w:rsidRDefault="00DC5A30" w:rsidP="004C09A7">
            <w:pPr>
              <w:spacing w:before="120" w:after="120"/>
              <w:jc w:val="center"/>
              <w:rPr>
                <w:b/>
                <w:sz w:val="24"/>
                <w:szCs w:val="24"/>
              </w:rPr>
            </w:pPr>
            <w:r w:rsidRPr="00EE7F39">
              <w:rPr>
                <w:b/>
                <w:sz w:val="24"/>
                <w:szCs w:val="24"/>
                <w:lang w:val="en-GB" w:bidi="en-GB"/>
              </w:rPr>
              <w:t>Competences:</w:t>
            </w:r>
          </w:p>
        </w:tc>
      </w:tr>
      <w:tr w:rsidR="00004653" w:rsidRPr="00112C72" w14:paraId="66A36017" w14:textId="77777777" w:rsidTr="00467C09">
        <w:trPr>
          <w:trHeight w:val="895"/>
        </w:trPr>
        <w:tc>
          <w:tcPr>
            <w:tcW w:w="1755" w:type="pct"/>
            <w:shd w:val="clear" w:color="auto" w:fill="F6F4F8"/>
          </w:tcPr>
          <w:p w14:paraId="5A58BB45" w14:textId="532C8596" w:rsidR="00004653" w:rsidRPr="00DC5A30" w:rsidRDefault="00004653" w:rsidP="00004653">
            <w:pPr>
              <w:spacing w:before="120" w:after="120"/>
              <w:rPr>
                <w:lang w:val="en-US"/>
              </w:rPr>
            </w:pPr>
            <w:r w:rsidRPr="007B65DE">
              <w:rPr>
                <w:rStyle w:val="Normalformular"/>
                <w:lang w:val="en-GB" w:bidi="en-GB"/>
              </w:rPr>
              <w:t>The ability to manage work and development situations that are complex and unpredictable, requiring new models for solutions</w:t>
            </w:r>
          </w:p>
        </w:tc>
        <w:tc>
          <w:tcPr>
            <w:tcW w:w="3245" w:type="pct"/>
            <w:shd w:val="clear" w:color="auto" w:fill="auto"/>
          </w:tcPr>
          <w:p w14:paraId="679AC79F" w14:textId="77777777" w:rsidR="00004653" w:rsidRPr="00467C09" w:rsidRDefault="00004653" w:rsidP="00004653">
            <w:pPr>
              <w:pStyle w:val="Opstilling-punkttegn"/>
              <w:numPr>
                <w:ilvl w:val="0"/>
                <w:numId w:val="0"/>
              </w:numPr>
              <w:spacing w:before="120" w:after="120" w:line="240" w:lineRule="auto"/>
              <w:rPr>
                <w:rStyle w:val="Normalformular"/>
                <w:color w:val="808080" w:themeColor="background1" w:themeShade="80"/>
              </w:rPr>
            </w:pPr>
            <w:r>
              <w:rPr>
                <w:rStyle w:val="Normalformular"/>
                <w:color w:val="808080" w:themeColor="background1" w:themeShade="80"/>
              </w:rPr>
              <w:t xml:space="preserve">- </w:t>
            </w:r>
          </w:p>
          <w:p w14:paraId="73503237" w14:textId="6E0DA7BA" w:rsidR="00004653" w:rsidRPr="00467C09" w:rsidRDefault="00004653" w:rsidP="00004653">
            <w:pPr>
              <w:pStyle w:val="Opstilling-punkttegn"/>
              <w:numPr>
                <w:ilvl w:val="0"/>
                <w:numId w:val="0"/>
              </w:numPr>
              <w:spacing w:before="120" w:after="120" w:line="240" w:lineRule="auto"/>
              <w:ind w:left="360" w:hanging="360"/>
              <w:rPr>
                <w:rStyle w:val="Normalformular"/>
                <w:color w:val="808080" w:themeColor="background1" w:themeShade="80"/>
              </w:rPr>
            </w:pPr>
          </w:p>
        </w:tc>
      </w:tr>
      <w:tr w:rsidR="00004653" w:rsidRPr="00112C72" w14:paraId="1D949083" w14:textId="77777777" w:rsidTr="00467C09">
        <w:trPr>
          <w:trHeight w:val="963"/>
        </w:trPr>
        <w:tc>
          <w:tcPr>
            <w:tcW w:w="1755" w:type="pct"/>
            <w:shd w:val="clear" w:color="auto" w:fill="F6F4F8"/>
          </w:tcPr>
          <w:p w14:paraId="24AA32CA" w14:textId="74C53BAE" w:rsidR="00004653" w:rsidRPr="00DC5A30" w:rsidRDefault="00004653" w:rsidP="00004653">
            <w:pPr>
              <w:spacing w:before="120" w:after="120"/>
              <w:rPr>
                <w:rStyle w:val="Normalformular"/>
                <w:lang w:val="en-US"/>
              </w:rPr>
            </w:pPr>
            <w:r w:rsidRPr="006217D3">
              <w:rPr>
                <w:rStyle w:val="Normalformular"/>
                <w:szCs w:val="24"/>
                <w:lang w:val="en-GB" w:bidi="en-GB"/>
              </w:rPr>
              <w:t>The ability to independently initiate and implement professional and cross-disciplinary collaboration and to assume professional responsibility</w:t>
            </w:r>
          </w:p>
        </w:tc>
        <w:tc>
          <w:tcPr>
            <w:tcW w:w="3245" w:type="pct"/>
            <w:shd w:val="clear" w:color="auto" w:fill="auto"/>
          </w:tcPr>
          <w:p w14:paraId="306B4075" w14:textId="37E900FE" w:rsidR="00004653" w:rsidRPr="002C00B4" w:rsidRDefault="00004653" w:rsidP="00004653">
            <w:pPr>
              <w:spacing w:before="120" w:after="120"/>
              <w:rPr>
                <w:color w:val="808080" w:themeColor="background1" w:themeShade="80"/>
              </w:rPr>
            </w:pPr>
            <w:r>
              <w:rPr>
                <w:rStyle w:val="Normalformular"/>
                <w:color w:val="808080" w:themeColor="background1" w:themeShade="80"/>
              </w:rPr>
              <w:t xml:space="preserve">- </w:t>
            </w:r>
          </w:p>
        </w:tc>
      </w:tr>
      <w:tr w:rsidR="00004653" w:rsidRPr="00112C72" w14:paraId="667E970F" w14:textId="77777777" w:rsidTr="00467C09">
        <w:trPr>
          <w:trHeight w:val="836"/>
        </w:trPr>
        <w:tc>
          <w:tcPr>
            <w:tcW w:w="1755" w:type="pct"/>
            <w:shd w:val="clear" w:color="auto" w:fill="F6F4F8"/>
          </w:tcPr>
          <w:p w14:paraId="6778BA6B" w14:textId="1DF2703E" w:rsidR="00004653" w:rsidRPr="00DC5A30" w:rsidRDefault="00004653" w:rsidP="00004653">
            <w:pPr>
              <w:spacing w:before="120" w:after="120"/>
              <w:rPr>
                <w:rStyle w:val="Normalformular"/>
                <w:lang w:val="en-US"/>
              </w:rPr>
            </w:pPr>
            <w:r w:rsidRPr="006217D3">
              <w:rPr>
                <w:rStyle w:val="Normalformular"/>
                <w:szCs w:val="24"/>
                <w:lang w:val="en-GB" w:bidi="en-GB"/>
              </w:rPr>
              <w:t>The ability to independently take responsibility for their own academic development and specialisation</w:t>
            </w:r>
          </w:p>
        </w:tc>
        <w:tc>
          <w:tcPr>
            <w:tcW w:w="3245" w:type="pct"/>
            <w:shd w:val="clear" w:color="auto" w:fill="auto"/>
          </w:tcPr>
          <w:p w14:paraId="1D9489FE" w14:textId="76FDC38A" w:rsidR="00004653" w:rsidRPr="002C00B4" w:rsidRDefault="00004653" w:rsidP="00004653">
            <w:pPr>
              <w:spacing w:before="120" w:after="120"/>
              <w:rPr>
                <w:color w:val="808080" w:themeColor="background1" w:themeShade="80"/>
              </w:rPr>
            </w:pPr>
            <w:r>
              <w:rPr>
                <w:rStyle w:val="Normalformular"/>
                <w:color w:val="808080" w:themeColor="background1" w:themeShade="80"/>
              </w:rPr>
              <w:t xml:space="preserve">- </w:t>
            </w:r>
          </w:p>
        </w:tc>
      </w:tr>
    </w:tbl>
    <w:p w14:paraId="217606B9" w14:textId="77777777" w:rsidR="00A30CAF" w:rsidRPr="00112C72" w:rsidRDefault="00A30CAF" w:rsidP="004C09A7">
      <w:pPr>
        <w:spacing w:before="120" w:after="120" w:line="240" w:lineRule="auto"/>
        <w:rPr>
          <w:sz w:val="24"/>
          <w:szCs w:val="24"/>
        </w:rPr>
      </w:pPr>
    </w:p>
    <w:sectPr w:rsidR="00A30CAF" w:rsidRPr="00112C72" w:rsidSect="00BB7910">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B3EC" w14:textId="77777777" w:rsidR="006F7E61" w:rsidRDefault="006F7E61" w:rsidP="00A30CAF">
      <w:pPr>
        <w:spacing w:after="0" w:line="240" w:lineRule="auto"/>
      </w:pPr>
      <w:r>
        <w:separator/>
      </w:r>
    </w:p>
  </w:endnote>
  <w:endnote w:type="continuationSeparator" w:id="0">
    <w:p w14:paraId="48E6600D" w14:textId="77777777" w:rsidR="006F7E61" w:rsidRDefault="006F7E61"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6D3ED" w14:textId="77777777" w:rsidR="006F7E61" w:rsidRDefault="006F7E61" w:rsidP="00A30CAF">
      <w:pPr>
        <w:spacing w:after="0" w:line="240" w:lineRule="auto"/>
      </w:pPr>
      <w:r>
        <w:separator/>
      </w:r>
    </w:p>
  </w:footnote>
  <w:footnote w:type="continuationSeparator" w:id="0">
    <w:p w14:paraId="7517518C" w14:textId="77777777" w:rsidR="006F7E61" w:rsidRDefault="006F7E61"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72259A5"/>
    <w:multiLevelType w:val="hybridMultilevel"/>
    <w:tmpl w:val="2D9865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9A114CC"/>
    <w:multiLevelType w:val="hybridMultilevel"/>
    <w:tmpl w:val="A52C28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EE17AAA"/>
    <w:multiLevelType w:val="hybridMultilevel"/>
    <w:tmpl w:val="661A64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3"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7"/>
  </w:num>
  <w:num w:numId="4">
    <w:abstractNumId w:val="15"/>
  </w:num>
  <w:num w:numId="5">
    <w:abstractNumId w:val="22"/>
  </w:num>
  <w:num w:numId="6">
    <w:abstractNumId w:val="14"/>
  </w:num>
  <w:num w:numId="7">
    <w:abstractNumId w:val="21"/>
  </w:num>
  <w:num w:numId="8">
    <w:abstractNumId w:val="29"/>
  </w:num>
  <w:num w:numId="9">
    <w:abstractNumId w:val="7"/>
  </w:num>
  <w:num w:numId="10">
    <w:abstractNumId w:val="5"/>
  </w:num>
  <w:num w:numId="11">
    <w:abstractNumId w:val="32"/>
  </w:num>
  <w:num w:numId="12">
    <w:abstractNumId w:val="8"/>
  </w:num>
  <w:num w:numId="13">
    <w:abstractNumId w:val="9"/>
  </w:num>
  <w:num w:numId="14">
    <w:abstractNumId w:val="28"/>
  </w:num>
  <w:num w:numId="15">
    <w:abstractNumId w:val="24"/>
  </w:num>
  <w:num w:numId="16">
    <w:abstractNumId w:val="6"/>
  </w:num>
  <w:num w:numId="17">
    <w:abstractNumId w:val="31"/>
  </w:num>
  <w:num w:numId="18">
    <w:abstractNumId w:val="16"/>
  </w:num>
  <w:num w:numId="19">
    <w:abstractNumId w:val="33"/>
  </w:num>
  <w:num w:numId="20">
    <w:abstractNumId w:val="3"/>
  </w:num>
  <w:num w:numId="21">
    <w:abstractNumId w:val="27"/>
  </w:num>
  <w:num w:numId="22">
    <w:abstractNumId w:val="12"/>
  </w:num>
  <w:num w:numId="23">
    <w:abstractNumId w:val="13"/>
  </w:num>
  <w:num w:numId="24">
    <w:abstractNumId w:val="25"/>
  </w:num>
  <w:num w:numId="25">
    <w:abstractNumId w:val="23"/>
  </w:num>
  <w:num w:numId="26">
    <w:abstractNumId w:val="20"/>
  </w:num>
  <w:num w:numId="27">
    <w:abstractNumId w:val="11"/>
  </w:num>
  <w:num w:numId="28">
    <w:abstractNumId w:val="10"/>
  </w:num>
  <w:num w:numId="29">
    <w:abstractNumId w:val="26"/>
  </w:num>
  <w:num w:numId="30">
    <w:abstractNumId w:val="30"/>
  </w:num>
  <w:num w:numId="31">
    <w:abstractNumId w:val="2"/>
  </w:num>
  <w:num w:numId="32">
    <w:abstractNumId w:val="18"/>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04653"/>
    <w:rsid w:val="00042F83"/>
    <w:rsid w:val="0009134A"/>
    <w:rsid w:val="000A3862"/>
    <w:rsid w:val="000B21F0"/>
    <w:rsid w:val="000F2D33"/>
    <w:rsid w:val="000F70BD"/>
    <w:rsid w:val="00112C72"/>
    <w:rsid w:val="00150341"/>
    <w:rsid w:val="00154CFE"/>
    <w:rsid w:val="00172B3D"/>
    <w:rsid w:val="001A628B"/>
    <w:rsid w:val="001B00DA"/>
    <w:rsid w:val="001B7D38"/>
    <w:rsid w:val="001F6695"/>
    <w:rsid w:val="0024296E"/>
    <w:rsid w:val="002B26F2"/>
    <w:rsid w:val="002C00B4"/>
    <w:rsid w:val="002C28C6"/>
    <w:rsid w:val="002F2065"/>
    <w:rsid w:val="00311F2E"/>
    <w:rsid w:val="00321619"/>
    <w:rsid w:val="003358B0"/>
    <w:rsid w:val="00361EF8"/>
    <w:rsid w:val="0036699D"/>
    <w:rsid w:val="003C0BE1"/>
    <w:rsid w:val="003D3348"/>
    <w:rsid w:val="003D7BD0"/>
    <w:rsid w:val="00467C09"/>
    <w:rsid w:val="004C09A7"/>
    <w:rsid w:val="00502EE1"/>
    <w:rsid w:val="0051460D"/>
    <w:rsid w:val="00566B68"/>
    <w:rsid w:val="0059529A"/>
    <w:rsid w:val="005F14B6"/>
    <w:rsid w:val="00635BDA"/>
    <w:rsid w:val="00662226"/>
    <w:rsid w:val="006A6189"/>
    <w:rsid w:val="006F52C4"/>
    <w:rsid w:val="006F7E61"/>
    <w:rsid w:val="007268AF"/>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B01BB"/>
    <w:rsid w:val="00A30CAF"/>
    <w:rsid w:val="00A326F8"/>
    <w:rsid w:val="00A54CAE"/>
    <w:rsid w:val="00AD15BD"/>
    <w:rsid w:val="00AD731D"/>
    <w:rsid w:val="00AF2917"/>
    <w:rsid w:val="00B07630"/>
    <w:rsid w:val="00B27B77"/>
    <w:rsid w:val="00B37F70"/>
    <w:rsid w:val="00B71EAA"/>
    <w:rsid w:val="00BB7910"/>
    <w:rsid w:val="00BD5F6D"/>
    <w:rsid w:val="00BE0864"/>
    <w:rsid w:val="00C05399"/>
    <w:rsid w:val="00C07789"/>
    <w:rsid w:val="00CE6E6F"/>
    <w:rsid w:val="00CF59F6"/>
    <w:rsid w:val="00DA607D"/>
    <w:rsid w:val="00DC5A30"/>
    <w:rsid w:val="00DE231B"/>
    <w:rsid w:val="00E00869"/>
    <w:rsid w:val="00E31070"/>
    <w:rsid w:val="00E64A7A"/>
    <w:rsid w:val="00EE7F39"/>
    <w:rsid w:val="00F3696E"/>
    <w:rsid w:val="00F551C7"/>
    <w:rsid w:val="00F56507"/>
    <w:rsid w:val="00F83C0C"/>
    <w:rsid w:val="00FA38C2"/>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EEA5-33B2-4B9D-A131-B9B917EB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4</cp:revision>
  <dcterms:created xsi:type="dcterms:W3CDTF">2019-12-17T21:54:00Z</dcterms:created>
  <dcterms:modified xsi:type="dcterms:W3CDTF">2020-05-18T16:14:00Z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