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4CA7E" w14:textId="0A467A23" w:rsidR="00467C09" w:rsidRDefault="00940221" w:rsidP="004C09A7">
      <w:pPr>
        <w:pStyle w:val="Titel"/>
        <w:spacing w:before="120" w:after="120" w:line="240" w:lineRule="auto"/>
      </w:pPr>
      <w:r>
        <w:t>OM UDDANNELSEN 1.3-1.</w:t>
      </w:r>
      <w:r w:rsidR="001225B4">
        <w:t>5</w:t>
      </w:r>
      <w:r>
        <w:t xml:space="preserve"> – </w:t>
      </w:r>
      <w:r w:rsidR="001225B4">
        <w:t>BACHELORTILVALG</w:t>
      </w:r>
    </w:p>
    <w:tbl>
      <w:tblPr>
        <w:tblStyle w:val="Tabel-Gitter1"/>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10046"/>
      </w:tblGrid>
      <w:tr w:rsidR="00057934" w:rsidRPr="00112C72" w14:paraId="1944D990" w14:textId="77777777" w:rsidTr="007352D9">
        <w:trPr>
          <w:trHeight w:val="456"/>
        </w:trPr>
        <w:tc>
          <w:tcPr>
            <w:tcW w:w="5000" w:type="pct"/>
            <w:tcBorders>
              <w:bottom w:val="nil"/>
            </w:tcBorders>
            <w:shd w:val="clear" w:color="auto" w:fill="00ABA2"/>
            <w:vAlign w:val="center"/>
          </w:tcPr>
          <w:p w14:paraId="3CC9801E" w14:textId="77777777" w:rsidR="00057934" w:rsidRPr="00467C09" w:rsidRDefault="00057934" w:rsidP="007352D9">
            <w:pPr>
              <w:pStyle w:val="Overskrift1"/>
              <w:spacing w:before="120" w:after="120"/>
              <w:jc w:val="center"/>
              <w:outlineLvl w:val="0"/>
              <w:rPr>
                <w:rStyle w:val="Normalformular"/>
                <w:rFonts w:cstheme="minorHAnsi"/>
                <w:color w:val="000000" w:themeColor="text1"/>
                <w:sz w:val="32"/>
              </w:rPr>
            </w:pPr>
            <w:bookmarkStart w:id="0" w:name="_GoBack"/>
            <w:r w:rsidRPr="00467C09">
              <w:rPr>
                <w:rFonts w:asciiTheme="minorHAnsi" w:hAnsiTheme="minorHAnsi" w:cstheme="minorHAnsi"/>
                <w:color w:val="000000" w:themeColor="text1"/>
              </w:rPr>
              <w:t xml:space="preserve">Uddannelse </w:t>
            </w:r>
          </w:p>
        </w:tc>
      </w:tr>
      <w:tr w:rsidR="00057934" w:rsidRPr="00112C72" w14:paraId="23EFCF11" w14:textId="77777777" w:rsidTr="00057934">
        <w:trPr>
          <w:trHeight w:val="716"/>
        </w:trPr>
        <w:tc>
          <w:tcPr>
            <w:tcW w:w="5000" w:type="pct"/>
            <w:tcBorders>
              <w:top w:val="nil"/>
            </w:tcBorders>
            <w:shd w:val="clear" w:color="auto" w:fill="auto"/>
            <w:vAlign w:val="center"/>
          </w:tcPr>
          <w:p w14:paraId="015B3AEA" w14:textId="77777777" w:rsidR="00057934" w:rsidRDefault="00057934" w:rsidP="007352D9">
            <w:pPr>
              <w:spacing w:before="120" w:after="120"/>
              <w:rPr>
                <w:rStyle w:val="Normalformular"/>
                <w:color w:val="808080" w:themeColor="background1" w:themeShade="80"/>
                <w:sz w:val="24"/>
                <w:szCs w:val="24"/>
              </w:rPr>
            </w:pPr>
            <w:r>
              <w:rPr>
                <w:rStyle w:val="Normalformular"/>
                <w:color w:val="808080" w:themeColor="background1" w:themeShade="80"/>
                <w:sz w:val="24"/>
                <w:szCs w:val="24"/>
              </w:rPr>
              <w:t>S</w:t>
            </w:r>
            <w:r w:rsidRPr="00BB7910">
              <w:rPr>
                <w:rStyle w:val="Normalformular"/>
                <w:color w:val="808080" w:themeColor="background1" w:themeShade="80"/>
                <w:sz w:val="24"/>
                <w:szCs w:val="24"/>
              </w:rPr>
              <w:t>kriv her, hvilken uddannelse faget er placeret på. Fx ”Bachelor</w:t>
            </w:r>
            <w:r>
              <w:rPr>
                <w:rStyle w:val="Normalformular"/>
                <w:color w:val="808080" w:themeColor="background1" w:themeShade="80"/>
                <w:sz w:val="24"/>
                <w:szCs w:val="24"/>
              </w:rPr>
              <w:t>tilvalget i historie</w:t>
            </w:r>
            <w:r w:rsidRPr="00BB7910">
              <w:rPr>
                <w:rStyle w:val="Normalformular"/>
                <w:color w:val="808080" w:themeColor="background1" w:themeShade="80"/>
                <w:sz w:val="24"/>
                <w:szCs w:val="24"/>
              </w:rPr>
              <w:t>”</w:t>
            </w:r>
          </w:p>
        </w:tc>
      </w:tr>
    </w:tbl>
    <w:p w14:paraId="5BE5965A" w14:textId="77777777" w:rsidR="00057934" w:rsidRPr="00057934" w:rsidRDefault="00057934" w:rsidP="00057934">
      <w:pPr>
        <w:spacing w:after="0"/>
        <w:rPr>
          <w:sz w:val="10"/>
        </w:rPr>
      </w:pPr>
    </w:p>
    <w:tbl>
      <w:tblPr>
        <w:tblStyle w:val="Tabel-Gitter"/>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10046"/>
      </w:tblGrid>
      <w:tr w:rsidR="00B7482B" w:rsidRPr="00112C72" w14:paraId="03600B08" w14:textId="77777777" w:rsidTr="00365621">
        <w:trPr>
          <w:trHeight w:val="456"/>
        </w:trPr>
        <w:tc>
          <w:tcPr>
            <w:tcW w:w="5000" w:type="pct"/>
            <w:tcBorders>
              <w:bottom w:val="nil"/>
            </w:tcBorders>
            <w:shd w:val="clear" w:color="auto" w:fill="00ABA2"/>
            <w:vAlign w:val="center"/>
          </w:tcPr>
          <w:bookmarkEnd w:id="0"/>
          <w:p w14:paraId="6E63BD3F" w14:textId="210FECEA" w:rsidR="00B7482B" w:rsidRPr="00467C09" w:rsidRDefault="00B7482B" w:rsidP="00365621">
            <w:pPr>
              <w:pStyle w:val="Overskrift1"/>
              <w:spacing w:before="120" w:after="120"/>
              <w:jc w:val="center"/>
              <w:outlineLvl w:val="0"/>
              <w:rPr>
                <w:rStyle w:val="Normalformular"/>
                <w:rFonts w:cstheme="minorHAnsi"/>
                <w:color w:val="000000" w:themeColor="text1"/>
                <w:sz w:val="32"/>
              </w:rPr>
            </w:pPr>
            <w:r>
              <w:rPr>
                <w:rFonts w:asciiTheme="minorHAnsi" w:hAnsiTheme="minorHAnsi" w:cstheme="minorHAnsi"/>
                <w:color w:val="000000" w:themeColor="text1"/>
              </w:rPr>
              <w:t>1.3 Adgangskrav og forudsætninger</w:t>
            </w:r>
          </w:p>
        </w:tc>
      </w:tr>
      <w:tr w:rsidR="00B7482B" w:rsidRPr="00A84193" w14:paraId="44719FA7" w14:textId="77777777" w:rsidTr="00365621">
        <w:trPr>
          <w:trHeight w:val="456"/>
        </w:trPr>
        <w:tc>
          <w:tcPr>
            <w:tcW w:w="5000" w:type="pct"/>
            <w:tcBorders>
              <w:top w:val="nil"/>
            </w:tcBorders>
            <w:shd w:val="clear" w:color="auto" w:fill="auto"/>
            <w:vAlign w:val="center"/>
          </w:tcPr>
          <w:p w14:paraId="24B49C17" w14:textId="77777777" w:rsidR="001E0377" w:rsidRDefault="00A84193" w:rsidP="001E0377">
            <w:pPr>
              <w:rPr>
                <w:bCs/>
                <w:color w:val="000000"/>
                <w:szCs w:val="24"/>
              </w:rPr>
            </w:pPr>
            <w:r w:rsidRPr="00A84193">
              <w:rPr>
                <w:bCs/>
                <w:color w:val="000000"/>
                <w:szCs w:val="24"/>
              </w:rPr>
              <w:t>Adgangskravet til tilvalget er 60 ECTS bestået inden for et andet fagområde ved udløbet af ansøgningsfristen for første runde.</w:t>
            </w:r>
          </w:p>
          <w:p w14:paraId="7004518D" w14:textId="77777777" w:rsidR="001E0377" w:rsidRPr="00A84193" w:rsidRDefault="001E0377" w:rsidP="001E0377">
            <w:pPr>
              <w:rPr>
                <w:rFonts w:cs="Arial"/>
                <w:b/>
                <w:bCs/>
                <w:iCs/>
                <w:color w:val="03428E"/>
                <w:szCs w:val="24"/>
              </w:rPr>
            </w:pPr>
          </w:p>
          <w:p w14:paraId="70B980A3" w14:textId="77777777" w:rsidR="001E0377" w:rsidRPr="00A84193" w:rsidRDefault="001E0377" w:rsidP="001E0377">
            <w:pPr>
              <w:rPr>
                <w:bCs/>
                <w:color w:val="000000"/>
                <w:szCs w:val="24"/>
              </w:rPr>
            </w:pPr>
            <w:r w:rsidRPr="00A84193">
              <w:rPr>
                <w:bCs/>
                <w:color w:val="000000"/>
                <w:szCs w:val="24"/>
              </w:rPr>
              <w:t>Eventuelt bestået propædeutik indgår ikke ved optællingen af optjente ECTS.</w:t>
            </w:r>
          </w:p>
          <w:p w14:paraId="7AA41FB6" w14:textId="7B169A8F" w:rsidR="001E0377" w:rsidRPr="001E0377" w:rsidRDefault="001E0377" w:rsidP="001E0377">
            <w:pPr>
              <w:rPr>
                <w:bCs/>
                <w:color w:val="000000"/>
                <w:szCs w:val="24"/>
              </w:rPr>
            </w:pPr>
            <w:r>
              <w:rPr>
                <w:bCs/>
                <w:color w:val="000000"/>
                <w:szCs w:val="24"/>
              </w:rPr>
              <w:br/>
            </w:r>
            <w:r w:rsidRPr="001E0377">
              <w:rPr>
                <w:bCs/>
                <w:color w:val="000000"/>
                <w:szCs w:val="24"/>
              </w:rPr>
              <w:t>Niveaukrav:</w:t>
            </w:r>
            <w:r>
              <w:rPr>
                <w:bCs/>
                <w:color w:val="000000"/>
                <w:szCs w:val="24"/>
              </w:rPr>
              <w:br/>
            </w:r>
            <w:r w:rsidRPr="001E0377">
              <w:rPr>
                <w:bCs/>
                <w:color w:val="808080" w:themeColor="background1" w:themeShade="80"/>
                <w:szCs w:val="24"/>
              </w:rPr>
              <w:t>Skriv niveaukravene her. Se den tidligere studieordning og ti</w:t>
            </w:r>
            <w:r>
              <w:rPr>
                <w:bCs/>
                <w:color w:val="808080" w:themeColor="background1" w:themeShade="80"/>
                <w:szCs w:val="24"/>
              </w:rPr>
              <w:t>lvalg.au.dk for at finde niveau</w:t>
            </w:r>
            <w:r w:rsidRPr="001E0377">
              <w:rPr>
                <w:bCs/>
                <w:color w:val="808080" w:themeColor="background1" w:themeShade="80"/>
                <w:szCs w:val="24"/>
              </w:rPr>
              <w:t>kravene.</w:t>
            </w:r>
          </w:p>
          <w:p w14:paraId="1693F02D" w14:textId="54B00764" w:rsidR="00B7482B" w:rsidRPr="00A84193" w:rsidRDefault="001E0377" w:rsidP="001E0377">
            <w:pPr>
              <w:spacing w:before="120" w:after="120"/>
              <w:rPr>
                <w:rStyle w:val="Normalformular"/>
                <w:color w:val="808080" w:themeColor="background1" w:themeShade="80"/>
                <w:sz w:val="24"/>
                <w:szCs w:val="24"/>
              </w:rPr>
            </w:pPr>
            <w:r>
              <w:rPr>
                <w:rStyle w:val="Normalformular"/>
                <w:color w:val="808080" w:themeColor="background1" w:themeShade="80"/>
                <w:szCs w:val="24"/>
              </w:rPr>
              <w:t>Tjek den tidligere studieordning og tilvalg.au.dk for at se, om der er øvrige adgangskrav.</w:t>
            </w:r>
          </w:p>
        </w:tc>
      </w:tr>
    </w:tbl>
    <w:p w14:paraId="173D3B76" w14:textId="50C1B04E" w:rsidR="00940221" w:rsidRDefault="00940221" w:rsidP="00057934">
      <w:pPr>
        <w:spacing w:after="0"/>
        <w:rPr>
          <w:sz w:val="2"/>
        </w:rPr>
      </w:pPr>
    </w:p>
    <w:p w14:paraId="31957442" w14:textId="77777777" w:rsidR="00B7482B" w:rsidRDefault="00B7482B" w:rsidP="00940221">
      <w:pPr>
        <w:rPr>
          <w:sz w:val="2"/>
        </w:rPr>
      </w:pPr>
    </w:p>
    <w:tbl>
      <w:tblPr>
        <w:tblStyle w:val="Tabel-Gitter"/>
        <w:tblpPr w:leftFromText="180" w:rightFromText="180" w:vertAnchor="text" w:horzAnchor="margin" w:tblpY="-66"/>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10046"/>
      </w:tblGrid>
      <w:tr w:rsidR="00B7482B" w:rsidRPr="00112C72" w14:paraId="1C302383" w14:textId="77777777" w:rsidTr="00B7482B">
        <w:trPr>
          <w:trHeight w:val="456"/>
        </w:trPr>
        <w:tc>
          <w:tcPr>
            <w:tcW w:w="5000" w:type="pct"/>
            <w:tcBorders>
              <w:bottom w:val="nil"/>
            </w:tcBorders>
            <w:shd w:val="clear" w:color="auto" w:fill="00ABA2"/>
            <w:vAlign w:val="center"/>
          </w:tcPr>
          <w:p w14:paraId="67B169AE" w14:textId="14A7E3FB" w:rsidR="00B7482B" w:rsidRPr="00467C09" w:rsidRDefault="00B7482B" w:rsidP="00B7482B">
            <w:pPr>
              <w:pStyle w:val="Overskrift1"/>
              <w:spacing w:before="120" w:after="120"/>
              <w:jc w:val="center"/>
              <w:outlineLvl w:val="0"/>
              <w:rPr>
                <w:rStyle w:val="Normalformular"/>
                <w:rFonts w:cstheme="minorHAnsi"/>
                <w:color w:val="000000" w:themeColor="text1"/>
                <w:sz w:val="32"/>
              </w:rPr>
            </w:pPr>
            <w:r>
              <w:rPr>
                <w:rFonts w:asciiTheme="minorHAnsi" w:hAnsiTheme="minorHAnsi" w:cstheme="minorHAnsi"/>
                <w:color w:val="000000" w:themeColor="text1"/>
              </w:rPr>
              <w:t>1.</w:t>
            </w:r>
            <w:r w:rsidR="00881219">
              <w:rPr>
                <w:rFonts w:asciiTheme="minorHAnsi" w:hAnsiTheme="minorHAnsi" w:cstheme="minorHAnsi"/>
                <w:color w:val="000000" w:themeColor="text1"/>
              </w:rPr>
              <w:t>4</w:t>
            </w:r>
            <w:r>
              <w:rPr>
                <w:rFonts w:asciiTheme="minorHAnsi" w:hAnsiTheme="minorHAnsi" w:cstheme="minorHAnsi"/>
                <w:color w:val="000000" w:themeColor="text1"/>
              </w:rPr>
              <w:t xml:space="preserve"> Denne uddannelse giver adgang til</w:t>
            </w:r>
          </w:p>
        </w:tc>
      </w:tr>
      <w:tr w:rsidR="00B7482B" w:rsidRPr="00112C72" w14:paraId="0BAFB29C" w14:textId="77777777" w:rsidTr="00B7482B">
        <w:trPr>
          <w:trHeight w:val="456"/>
        </w:trPr>
        <w:tc>
          <w:tcPr>
            <w:tcW w:w="5000" w:type="pct"/>
            <w:tcBorders>
              <w:top w:val="nil"/>
            </w:tcBorders>
            <w:shd w:val="clear" w:color="auto" w:fill="auto"/>
            <w:vAlign w:val="center"/>
          </w:tcPr>
          <w:p w14:paraId="3047D448" w14:textId="77777777" w:rsidR="00A84193" w:rsidRPr="00A84193" w:rsidRDefault="00A84193" w:rsidP="00B7482B">
            <w:pPr>
              <w:spacing w:before="120" w:after="120"/>
            </w:pPr>
            <w:r w:rsidRPr="00A84193">
              <w:t>”Bachelortilvalget i xxx giver ikke adgang til andre uddannelser.” eller</w:t>
            </w:r>
          </w:p>
          <w:p w14:paraId="7DCF1042" w14:textId="5029805F" w:rsidR="00B7482B" w:rsidRPr="007D3775" w:rsidRDefault="00A84193" w:rsidP="00B7482B">
            <w:pPr>
              <w:spacing w:before="120" w:after="120"/>
              <w:rPr>
                <w:rStyle w:val="Normalformular"/>
                <w:color w:val="808080" w:themeColor="background1" w:themeShade="80"/>
              </w:rPr>
            </w:pPr>
            <w:r w:rsidRPr="00A84193">
              <w:t>”Bachelortilvalget i xxx giver adgang til xxx”</w:t>
            </w:r>
            <w:r>
              <w:rPr>
                <w:color w:val="808080" w:themeColor="background1" w:themeShade="80"/>
              </w:rPr>
              <w:br/>
            </w:r>
            <w:r w:rsidR="00B7482B" w:rsidRPr="007D3775">
              <w:rPr>
                <w:color w:val="808080" w:themeColor="background1" w:themeShade="80"/>
              </w:rPr>
              <w:t xml:space="preserve"> </w:t>
            </w:r>
          </w:p>
        </w:tc>
      </w:tr>
    </w:tbl>
    <w:p w14:paraId="231ED10C" w14:textId="77777777" w:rsidR="00940221" w:rsidRPr="00B27B77" w:rsidRDefault="00940221" w:rsidP="00940221">
      <w:pPr>
        <w:rPr>
          <w:sz w:val="2"/>
        </w:rPr>
      </w:pPr>
    </w:p>
    <w:tbl>
      <w:tblPr>
        <w:tblStyle w:val="Tabel-Gitter"/>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3663"/>
        <w:gridCol w:w="4111"/>
        <w:gridCol w:w="2272"/>
      </w:tblGrid>
      <w:tr w:rsidR="00940221" w:rsidRPr="00112C72" w14:paraId="59233B67" w14:textId="77777777" w:rsidTr="00365621">
        <w:trPr>
          <w:trHeight w:val="564"/>
        </w:trPr>
        <w:tc>
          <w:tcPr>
            <w:tcW w:w="5000" w:type="pct"/>
            <w:gridSpan w:val="3"/>
            <w:tcBorders>
              <w:bottom w:val="nil"/>
            </w:tcBorders>
            <w:shd w:val="clear" w:color="auto" w:fill="00ABA4"/>
            <w:vAlign w:val="center"/>
          </w:tcPr>
          <w:p w14:paraId="70466F28" w14:textId="7EBD8D25" w:rsidR="00940221" w:rsidRPr="004C09A7" w:rsidRDefault="00940221" w:rsidP="00365621">
            <w:pPr>
              <w:spacing w:before="120" w:after="120"/>
              <w:ind w:left="720"/>
              <w:jc w:val="center"/>
              <w:rPr>
                <w:rStyle w:val="Normalformular"/>
                <w:sz w:val="32"/>
                <w:szCs w:val="32"/>
              </w:rPr>
            </w:pPr>
            <w:r>
              <w:rPr>
                <w:sz w:val="32"/>
                <w:szCs w:val="32"/>
              </w:rPr>
              <w:t>1.</w:t>
            </w:r>
            <w:r w:rsidR="00881219">
              <w:rPr>
                <w:sz w:val="32"/>
                <w:szCs w:val="32"/>
              </w:rPr>
              <w:t>5</w:t>
            </w:r>
            <w:r>
              <w:rPr>
                <w:sz w:val="32"/>
                <w:szCs w:val="32"/>
              </w:rPr>
              <w:t xml:space="preserve"> Overgangsregler</w:t>
            </w:r>
          </w:p>
        </w:tc>
      </w:tr>
      <w:tr w:rsidR="00777137" w:rsidRPr="00112C72" w14:paraId="348570A3" w14:textId="77777777" w:rsidTr="00B2603B">
        <w:trPr>
          <w:trHeight w:val="517"/>
        </w:trPr>
        <w:tc>
          <w:tcPr>
            <w:tcW w:w="5000" w:type="pct"/>
            <w:gridSpan w:val="3"/>
            <w:shd w:val="clear" w:color="auto" w:fill="E7E6E6" w:themeFill="background2"/>
          </w:tcPr>
          <w:p w14:paraId="4E1FC996" w14:textId="35BB656D" w:rsidR="00777137" w:rsidRPr="002E1FC9" w:rsidRDefault="008667CF" w:rsidP="00680704">
            <w:pPr>
              <w:spacing w:before="120" w:after="120" w:line="276" w:lineRule="auto"/>
              <w:rPr>
                <w:rFonts w:cstheme="minorHAnsi"/>
                <w:b/>
              </w:rPr>
            </w:pPr>
            <w:r w:rsidRPr="008667CF">
              <w:rPr>
                <w:rFonts w:cstheme="minorHAnsi"/>
                <w:b/>
              </w:rPr>
              <w:t>Følgende tekst fremgår af studieordningen:</w:t>
            </w:r>
            <w:r w:rsidR="002E1FC9">
              <w:rPr>
                <w:rFonts w:cstheme="minorHAnsi"/>
                <w:b/>
              </w:rPr>
              <w:br/>
            </w:r>
            <w:r w:rsidRPr="008667CF">
              <w:rPr>
                <w:rFonts w:cstheme="minorHAnsi"/>
              </w:rPr>
              <w:t xml:space="preserve">Denne studieordning træder i kraft pr. 1. september (20xx). Som følge af dette udfases den tidligere studieordning. </w:t>
            </w:r>
            <w:r w:rsidR="00680704">
              <w:rPr>
                <w:rFonts w:cstheme="minorHAnsi"/>
              </w:rPr>
              <w:br/>
            </w:r>
            <w:r w:rsidRPr="008667CF">
              <w:rPr>
                <w:rFonts w:cstheme="minorHAnsi"/>
              </w:rPr>
              <w:t>Studienævnet har vedtaget, at beståede fagelementer overføres fra 20xx-ordningen til 20xx-ordningen jf. nedenstående skema:</w:t>
            </w:r>
          </w:p>
        </w:tc>
      </w:tr>
      <w:tr w:rsidR="00CE6E6F" w:rsidRPr="00112C72" w14:paraId="61895FF2" w14:textId="77777777" w:rsidTr="00467C09">
        <w:trPr>
          <w:trHeight w:val="390"/>
        </w:trPr>
        <w:tc>
          <w:tcPr>
            <w:tcW w:w="5000" w:type="pct"/>
            <w:gridSpan w:val="3"/>
            <w:shd w:val="clear" w:color="auto" w:fill="F6F4F8"/>
          </w:tcPr>
          <w:p w14:paraId="18771639" w14:textId="200451AF" w:rsidR="008667CF" w:rsidRPr="00AE3679" w:rsidRDefault="008667CF" w:rsidP="008667CF">
            <w:pPr>
              <w:spacing w:before="120" w:after="120" w:line="276" w:lineRule="auto"/>
            </w:pPr>
            <w:r w:rsidRPr="008667CF">
              <w:rPr>
                <w:rFonts w:cstheme="minorHAnsi"/>
                <w:b/>
              </w:rPr>
              <w:t>OBS!</w:t>
            </w:r>
            <w:r w:rsidR="00AE3679">
              <w:rPr>
                <w:rFonts w:cstheme="minorHAnsi"/>
              </w:rPr>
              <w:t xml:space="preserve"> Alle fag </w:t>
            </w:r>
            <w:r w:rsidRPr="008667CF">
              <w:rPr>
                <w:rFonts w:cstheme="minorHAnsi"/>
              </w:rPr>
              <w:t xml:space="preserve">på begge studieordninger skal være vist i skemaet, også selvom </w:t>
            </w:r>
            <w:r w:rsidR="00AE3679">
              <w:rPr>
                <w:rFonts w:cstheme="minorHAnsi"/>
              </w:rPr>
              <w:t>der ikke er ækvivalerende fag</w:t>
            </w:r>
            <w:r w:rsidRPr="008667CF">
              <w:rPr>
                <w:rFonts w:cstheme="minorHAnsi"/>
              </w:rPr>
              <w:t xml:space="preserve"> mellem </w:t>
            </w:r>
            <w:r w:rsidR="00AE3679">
              <w:rPr>
                <w:rFonts w:cstheme="minorHAnsi"/>
              </w:rPr>
              <w:t>studie</w:t>
            </w:r>
            <w:r w:rsidRPr="008667CF">
              <w:rPr>
                <w:rFonts w:cstheme="minorHAnsi"/>
              </w:rPr>
              <w:t>ordni</w:t>
            </w:r>
            <w:r w:rsidR="002E1FC9">
              <w:rPr>
                <w:rFonts w:cstheme="minorHAnsi"/>
              </w:rPr>
              <w:t xml:space="preserve">ngerne. </w:t>
            </w:r>
            <w:r w:rsidR="00EC1F3C">
              <w:t xml:space="preserve">Med grå er der skrevet </w:t>
            </w:r>
            <w:r w:rsidR="00AE3679">
              <w:t>eksempler på, hvordan overgangsregler for de enkelte fag kan se ud (listen er ikke udtømmende).</w:t>
            </w:r>
          </w:p>
          <w:p w14:paraId="6AB94B44" w14:textId="02BD515A" w:rsidR="00CE6E6F" w:rsidRPr="00EE7F39" w:rsidRDefault="008667CF" w:rsidP="002E1FC9">
            <w:pPr>
              <w:spacing w:before="120" w:after="120"/>
              <w:rPr>
                <w:b/>
                <w:sz w:val="24"/>
                <w:szCs w:val="24"/>
              </w:rPr>
            </w:pPr>
            <w:r w:rsidRPr="008667CF">
              <w:rPr>
                <w:rFonts w:cstheme="minorHAnsi"/>
              </w:rPr>
              <w:t>For hvert fag skal der stå fuld dansk og engelsk ti</w:t>
            </w:r>
            <w:r w:rsidR="002E1FC9">
              <w:rPr>
                <w:rFonts w:cstheme="minorHAnsi"/>
              </w:rPr>
              <w:t>tel samt ECTS vægtning.</w:t>
            </w:r>
          </w:p>
        </w:tc>
      </w:tr>
      <w:tr w:rsidR="00531C30" w:rsidRPr="00112C72" w14:paraId="3A0C2D05" w14:textId="77777777" w:rsidTr="002E1FC9">
        <w:trPr>
          <w:trHeight w:val="611"/>
        </w:trPr>
        <w:tc>
          <w:tcPr>
            <w:tcW w:w="1823" w:type="pct"/>
            <w:shd w:val="clear" w:color="auto" w:fill="auto"/>
          </w:tcPr>
          <w:p w14:paraId="207D1D66" w14:textId="38B465AE" w:rsidR="00531C30" w:rsidRPr="00B2603B" w:rsidRDefault="009C2CE5" w:rsidP="00531C30">
            <w:pPr>
              <w:spacing w:before="120" w:after="120"/>
              <w:jc w:val="center"/>
              <w:rPr>
                <w:rStyle w:val="Normalformular"/>
                <w:rFonts w:ascii="Georgia" w:hAnsi="Georgia"/>
                <w:b/>
              </w:rPr>
            </w:pPr>
            <w:r>
              <w:rPr>
                <w:rFonts w:ascii="Georgia" w:hAnsi="Georgia"/>
                <w:b/>
              </w:rPr>
              <w:t>Bachelortilvalget</w:t>
            </w:r>
            <w:r w:rsidR="00531C30" w:rsidRPr="00B2603B">
              <w:rPr>
                <w:rFonts w:ascii="Georgia" w:hAnsi="Georgia"/>
                <w:b/>
              </w:rPr>
              <w:t xml:space="preserve"> i xxx 20xx</w:t>
            </w:r>
          </w:p>
        </w:tc>
        <w:tc>
          <w:tcPr>
            <w:tcW w:w="2046" w:type="pct"/>
            <w:shd w:val="clear" w:color="auto" w:fill="auto"/>
          </w:tcPr>
          <w:p w14:paraId="78186DF3" w14:textId="5C28DF0E" w:rsidR="00531C30" w:rsidRPr="00B2603B" w:rsidRDefault="009C2CE5" w:rsidP="00531C30">
            <w:pPr>
              <w:pStyle w:val="Opstilling-punkttegn"/>
              <w:numPr>
                <w:ilvl w:val="0"/>
                <w:numId w:val="0"/>
              </w:numPr>
              <w:spacing w:before="120" w:after="120" w:line="240" w:lineRule="auto"/>
              <w:ind w:left="360" w:hanging="360"/>
              <w:jc w:val="center"/>
              <w:rPr>
                <w:rStyle w:val="Normalformular"/>
                <w:color w:val="808080" w:themeColor="background1" w:themeShade="80"/>
              </w:rPr>
            </w:pPr>
            <w:r>
              <w:rPr>
                <w:rFonts w:ascii="Georgia" w:hAnsi="Georgia"/>
                <w:b/>
              </w:rPr>
              <w:t>Bachelortilvalget</w:t>
            </w:r>
            <w:r w:rsidR="00531C30" w:rsidRPr="00B2603B">
              <w:rPr>
                <w:rFonts w:ascii="Georgia" w:hAnsi="Georgia"/>
                <w:b/>
              </w:rPr>
              <w:t xml:space="preserve"> i xxx 20xx</w:t>
            </w:r>
          </w:p>
          <w:p w14:paraId="3B28FE44" w14:textId="3A9A6E27" w:rsidR="00531C30" w:rsidRPr="00680704" w:rsidRDefault="00531C30" w:rsidP="00531C30">
            <w:pPr>
              <w:spacing w:before="120" w:after="120"/>
              <w:rPr>
                <w:rStyle w:val="Normalformular"/>
                <w:color w:val="000000" w:themeColor="text1"/>
                <w:lang w:val="en-US"/>
              </w:rPr>
            </w:pPr>
          </w:p>
        </w:tc>
        <w:tc>
          <w:tcPr>
            <w:tcW w:w="1131" w:type="pct"/>
            <w:shd w:val="clear" w:color="auto" w:fill="F2F2F2" w:themeFill="background1" w:themeFillShade="F2"/>
          </w:tcPr>
          <w:p w14:paraId="02E8DA52" w14:textId="09D1BCD8" w:rsidR="00531C30" w:rsidRPr="00531C30" w:rsidRDefault="00531C30" w:rsidP="002E1FC9">
            <w:pPr>
              <w:rPr>
                <w:rStyle w:val="Normalformular"/>
              </w:rPr>
            </w:pPr>
            <w:r w:rsidRPr="00531C30">
              <w:rPr>
                <w:b/>
              </w:rPr>
              <w:t>Karakter overføres</w:t>
            </w:r>
            <w:r>
              <w:rPr>
                <w:b/>
              </w:rPr>
              <w:br/>
            </w:r>
            <w:r>
              <w:t xml:space="preserve">Denne kolonne udfyldes af SNUK. </w:t>
            </w:r>
            <w:hyperlink w:anchor="Karakter" w:tooltip="Karakteren overføres og fremgår af eksamensbeviset, når prøven på begge ordninger er gradueret. Hvis prøven kun er gradueret på den ene ordning, eller hvis der er flere prøver, der overføres til én prøve, vil prøven efter overførsel fremstå med bedømmelsen" w:history="1">
              <w:r w:rsidRPr="002E1FC9">
                <w:rPr>
                  <w:rStyle w:val="Hyperlink"/>
                </w:rPr>
                <w:sym w:font="Webdings" w:char="F069"/>
              </w:r>
              <w:bookmarkStart w:id="1" w:name="Karakter"/>
              <w:bookmarkEnd w:id="1"/>
            </w:hyperlink>
          </w:p>
        </w:tc>
      </w:tr>
      <w:tr w:rsidR="00531C30" w:rsidRPr="00112C72" w14:paraId="42E45A25" w14:textId="77777777" w:rsidTr="002E1FC9">
        <w:trPr>
          <w:trHeight w:val="560"/>
        </w:trPr>
        <w:tc>
          <w:tcPr>
            <w:tcW w:w="1823" w:type="pct"/>
            <w:shd w:val="clear" w:color="auto" w:fill="auto"/>
          </w:tcPr>
          <w:p w14:paraId="0027D943" w14:textId="2044E449" w:rsidR="00531C30" w:rsidRPr="0002795D" w:rsidRDefault="00531C30" w:rsidP="00531C30">
            <w:pPr>
              <w:spacing w:before="120" w:after="120"/>
              <w:rPr>
                <w:rStyle w:val="Normalformular"/>
                <w:color w:val="808080" w:themeColor="background1" w:themeShade="80"/>
              </w:rPr>
            </w:pPr>
            <w:r w:rsidRPr="0002795D">
              <w:rPr>
                <w:color w:val="808080" w:themeColor="background1" w:themeShade="80"/>
              </w:rPr>
              <w:t>Fag 1 (10 ECTS)</w:t>
            </w:r>
          </w:p>
        </w:tc>
        <w:tc>
          <w:tcPr>
            <w:tcW w:w="2046" w:type="pct"/>
            <w:shd w:val="clear" w:color="auto" w:fill="auto"/>
          </w:tcPr>
          <w:p w14:paraId="54B58FB8" w14:textId="0DF68795" w:rsidR="00531C30" w:rsidRPr="0002795D" w:rsidRDefault="00531C30" w:rsidP="00531C30">
            <w:pPr>
              <w:spacing w:before="120" w:after="120"/>
              <w:rPr>
                <w:color w:val="808080" w:themeColor="background1" w:themeShade="80"/>
              </w:rPr>
            </w:pPr>
            <w:r w:rsidRPr="0002795D">
              <w:rPr>
                <w:color w:val="808080" w:themeColor="background1" w:themeShade="80"/>
              </w:rPr>
              <w:t>Fag A (10 ECTS)</w:t>
            </w:r>
          </w:p>
        </w:tc>
        <w:tc>
          <w:tcPr>
            <w:tcW w:w="1131" w:type="pct"/>
            <w:shd w:val="clear" w:color="auto" w:fill="F2F2F2" w:themeFill="background1" w:themeFillShade="F2"/>
          </w:tcPr>
          <w:p w14:paraId="13C68B8D" w14:textId="1BB0BA0B" w:rsidR="00531C30" w:rsidRPr="0002795D" w:rsidRDefault="00531C30" w:rsidP="00531C30">
            <w:pPr>
              <w:spacing w:before="120" w:after="120"/>
              <w:rPr>
                <w:color w:val="808080" w:themeColor="background1" w:themeShade="80"/>
              </w:rPr>
            </w:pPr>
            <w:r w:rsidRPr="0002795D">
              <w:rPr>
                <w:color w:val="808080" w:themeColor="background1" w:themeShade="80"/>
              </w:rPr>
              <w:t>Ja</w:t>
            </w:r>
          </w:p>
        </w:tc>
      </w:tr>
      <w:tr w:rsidR="00531C30" w:rsidRPr="00112C72" w14:paraId="5A07BBA6" w14:textId="77777777" w:rsidTr="002E1FC9">
        <w:trPr>
          <w:trHeight w:val="560"/>
        </w:trPr>
        <w:tc>
          <w:tcPr>
            <w:tcW w:w="1823" w:type="pct"/>
            <w:shd w:val="clear" w:color="auto" w:fill="auto"/>
          </w:tcPr>
          <w:p w14:paraId="7807C987" w14:textId="45BC2869" w:rsidR="00531C30" w:rsidRPr="0002795D" w:rsidRDefault="00531C30" w:rsidP="00531C30">
            <w:pPr>
              <w:spacing w:before="120" w:after="120"/>
              <w:rPr>
                <w:rStyle w:val="Normalformular"/>
                <w:color w:val="808080" w:themeColor="background1" w:themeShade="80"/>
              </w:rPr>
            </w:pPr>
            <w:r w:rsidRPr="0002795D">
              <w:rPr>
                <w:color w:val="808080" w:themeColor="background1" w:themeShade="80"/>
              </w:rPr>
              <w:t>Fag 2 (10 ECTS)</w:t>
            </w:r>
          </w:p>
        </w:tc>
        <w:tc>
          <w:tcPr>
            <w:tcW w:w="2046" w:type="pct"/>
            <w:shd w:val="clear" w:color="auto" w:fill="auto"/>
          </w:tcPr>
          <w:p w14:paraId="6F223F29" w14:textId="5E671058" w:rsidR="00531C30" w:rsidRPr="0002795D" w:rsidRDefault="00531C30" w:rsidP="00531C30">
            <w:pPr>
              <w:spacing w:before="120" w:after="120"/>
              <w:rPr>
                <w:color w:val="808080" w:themeColor="background1" w:themeShade="80"/>
              </w:rPr>
            </w:pPr>
            <w:r w:rsidRPr="0002795D">
              <w:rPr>
                <w:color w:val="808080" w:themeColor="background1" w:themeShade="80"/>
              </w:rPr>
              <w:t>Fag B (10 ECTS)</w:t>
            </w:r>
          </w:p>
        </w:tc>
        <w:tc>
          <w:tcPr>
            <w:tcW w:w="1131" w:type="pct"/>
            <w:shd w:val="clear" w:color="auto" w:fill="F2F2F2" w:themeFill="background1" w:themeFillShade="F2"/>
          </w:tcPr>
          <w:p w14:paraId="5DCB444A" w14:textId="65DE059F" w:rsidR="00531C30" w:rsidRPr="0002795D" w:rsidRDefault="00531C30" w:rsidP="00531C30">
            <w:pPr>
              <w:spacing w:before="120" w:after="120"/>
              <w:rPr>
                <w:color w:val="808080" w:themeColor="background1" w:themeShade="80"/>
              </w:rPr>
            </w:pPr>
            <w:r w:rsidRPr="0002795D">
              <w:rPr>
                <w:color w:val="808080" w:themeColor="background1" w:themeShade="80"/>
              </w:rPr>
              <w:t>Nej</w:t>
            </w:r>
          </w:p>
        </w:tc>
      </w:tr>
      <w:tr w:rsidR="00680704" w:rsidRPr="00112C72" w14:paraId="0D36F59C" w14:textId="77777777" w:rsidTr="002E1FC9">
        <w:trPr>
          <w:trHeight w:val="560"/>
        </w:trPr>
        <w:tc>
          <w:tcPr>
            <w:tcW w:w="1823" w:type="pct"/>
            <w:shd w:val="clear" w:color="auto" w:fill="auto"/>
          </w:tcPr>
          <w:p w14:paraId="22F178B1" w14:textId="32EAF5C2" w:rsidR="00680704" w:rsidRPr="0002795D" w:rsidRDefault="00680704" w:rsidP="00680704">
            <w:pPr>
              <w:spacing w:before="120" w:after="120"/>
              <w:rPr>
                <w:rStyle w:val="Normalformular"/>
                <w:color w:val="808080" w:themeColor="background1" w:themeShade="80"/>
              </w:rPr>
            </w:pPr>
            <w:r w:rsidRPr="0002795D">
              <w:rPr>
                <w:color w:val="808080" w:themeColor="background1" w:themeShade="80"/>
              </w:rPr>
              <w:lastRenderedPageBreak/>
              <w:t>Fag 3 (10 ECTS)</w:t>
            </w:r>
          </w:p>
        </w:tc>
        <w:tc>
          <w:tcPr>
            <w:tcW w:w="2046" w:type="pct"/>
            <w:shd w:val="clear" w:color="auto" w:fill="auto"/>
          </w:tcPr>
          <w:p w14:paraId="3F7C5F5B" w14:textId="7AE2DBA1" w:rsidR="00680704" w:rsidRPr="0002795D" w:rsidRDefault="00680704" w:rsidP="00680704">
            <w:pPr>
              <w:spacing w:before="120" w:after="120"/>
              <w:rPr>
                <w:color w:val="808080" w:themeColor="background1" w:themeShade="80"/>
              </w:rPr>
            </w:pPr>
            <w:r w:rsidRPr="0002795D">
              <w:rPr>
                <w:color w:val="808080" w:themeColor="background1" w:themeShade="80"/>
              </w:rPr>
              <w:t>Faget kan ikke ækvivaleres til et fag i 20xx-studieordningen</w:t>
            </w:r>
          </w:p>
        </w:tc>
        <w:tc>
          <w:tcPr>
            <w:tcW w:w="1131" w:type="pct"/>
            <w:shd w:val="clear" w:color="auto" w:fill="F2F2F2" w:themeFill="background1" w:themeFillShade="F2"/>
          </w:tcPr>
          <w:p w14:paraId="24AFF42C" w14:textId="22695F5E" w:rsidR="00680704" w:rsidRPr="0002795D" w:rsidRDefault="00680704" w:rsidP="00680704">
            <w:pPr>
              <w:spacing w:before="120" w:after="120"/>
              <w:rPr>
                <w:color w:val="808080" w:themeColor="background1" w:themeShade="80"/>
              </w:rPr>
            </w:pPr>
          </w:p>
        </w:tc>
      </w:tr>
      <w:tr w:rsidR="00680704" w:rsidRPr="00112C72" w14:paraId="6754DECE" w14:textId="77777777" w:rsidTr="002E1FC9">
        <w:trPr>
          <w:trHeight w:val="560"/>
        </w:trPr>
        <w:tc>
          <w:tcPr>
            <w:tcW w:w="1823" w:type="pct"/>
            <w:shd w:val="clear" w:color="auto" w:fill="auto"/>
          </w:tcPr>
          <w:p w14:paraId="20D864AF" w14:textId="6C10AC9E" w:rsidR="00680704" w:rsidRPr="0002795D" w:rsidRDefault="00680704" w:rsidP="00680704">
            <w:pPr>
              <w:spacing w:before="120" w:after="120"/>
              <w:rPr>
                <w:rStyle w:val="Normalformular"/>
                <w:color w:val="808080" w:themeColor="background1" w:themeShade="80"/>
              </w:rPr>
            </w:pPr>
            <w:r w:rsidRPr="0002795D">
              <w:rPr>
                <w:color w:val="808080" w:themeColor="background1" w:themeShade="80"/>
              </w:rPr>
              <w:t>Faget kan ikke ækvivaleres til et fag i 20xx-studieordningen</w:t>
            </w:r>
          </w:p>
        </w:tc>
        <w:tc>
          <w:tcPr>
            <w:tcW w:w="2046" w:type="pct"/>
            <w:shd w:val="clear" w:color="auto" w:fill="auto"/>
          </w:tcPr>
          <w:p w14:paraId="07675660" w14:textId="56BB106C" w:rsidR="00680704" w:rsidRPr="0002795D" w:rsidRDefault="00680704" w:rsidP="00680704">
            <w:pPr>
              <w:spacing w:before="120" w:after="120"/>
              <w:rPr>
                <w:color w:val="808080" w:themeColor="background1" w:themeShade="80"/>
              </w:rPr>
            </w:pPr>
            <w:r w:rsidRPr="0002795D">
              <w:rPr>
                <w:color w:val="808080" w:themeColor="background1" w:themeShade="80"/>
              </w:rPr>
              <w:t>Fag D (10 ECTS)</w:t>
            </w:r>
          </w:p>
        </w:tc>
        <w:tc>
          <w:tcPr>
            <w:tcW w:w="1131" w:type="pct"/>
            <w:shd w:val="clear" w:color="auto" w:fill="F2F2F2" w:themeFill="background1" w:themeFillShade="F2"/>
          </w:tcPr>
          <w:p w14:paraId="289B428D" w14:textId="05938523" w:rsidR="00680704" w:rsidRPr="0002795D" w:rsidRDefault="00680704" w:rsidP="00680704">
            <w:pPr>
              <w:spacing w:before="120" w:after="120"/>
              <w:rPr>
                <w:color w:val="808080" w:themeColor="background1" w:themeShade="80"/>
              </w:rPr>
            </w:pPr>
          </w:p>
        </w:tc>
      </w:tr>
      <w:tr w:rsidR="00680704" w:rsidRPr="00112C72" w14:paraId="4A35AB32" w14:textId="77777777" w:rsidTr="002E1FC9">
        <w:trPr>
          <w:trHeight w:val="560"/>
        </w:trPr>
        <w:tc>
          <w:tcPr>
            <w:tcW w:w="1823" w:type="pct"/>
            <w:shd w:val="clear" w:color="auto" w:fill="auto"/>
          </w:tcPr>
          <w:p w14:paraId="6171F625" w14:textId="77777777" w:rsidR="00680704" w:rsidRPr="0002795D" w:rsidRDefault="00680704" w:rsidP="00680704">
            <w:pPr>
              <w:rPr>
                <w:color w:val="808080" w:themeColor="background1" w:themeShade="80"/>
              </w:rPr>
            </w:pPr>
            <w:r w:rsidRPr="0002795D">
              <w:rPr>
                <w:color w:val="808080" w:themeColor="background1" w:themeShade="80"/>
              </w:rPr>
              <w:t>Fag 4 (5 ECTS)</w:t>
            </w:r>
          </w:p>
          <w:p w14:paraId="2DBC479F" w14:textId="6BFCCD65" w:rsidR="00680704" w:rsidRPr="0002795D" w:rsidRDefault="00680704" w:rsidP="00680704">
            <w:pPr>
              <w:spacing w:before="120" w:after="120"/>
              <w:rPr>
                <w:rStyle w:val="Normalformular"/>
                <w:color w:val="808080" w:themeColor="background1" w:themeShade="80"/>
              </w:rPr>
            </w:pPr>
            <w:r w:rsidRPr="0002795D">
              <w:rPr>
                <w:color w:val="808080" w:themeColor="background1" w:themeShade="80"/>
              </w:rPr>
              <w:t>Fag 5 (5 ECTS)</w:t>
            </w:r>
          </w:p>
        </w:tc>
        <w:tc>
          <w:tcPr>
            <w:tcW w:w="2046" w:type="pct"/>
            <w:shd w:val="clear" w:color="auto" w:fill="auto"/>
          </w:tcPr>
          <w:p w14:paraId="6F2550A4" w14:textId="5C60815E" w:rsidR="00680704" w:rsidRPr="0002795D" w:rsidRDefault="00680704" w:rsidP="00680704">
            <w:pPr>
              <w:spacing w:before="120" w:after="120"/>
              <w:rPr>
                <w:color w:val="808080" w:themeColor="background1" w:themeShade="80"/>
              </w:rPr>
            </w:pPr>
            <w:r w:rsidRPr="0002795D">
              <w:rPr>
                <w:color w:val="808080" w:themeColor="background1" w:themeShade="80"/>
              </w:rPr>
              <w:t>Fag E (10 ECTS)</w:t>
            </w:r>
          </w:p>
        </w:tc>
        <w:tc>
          <w:tcPr>
            <w:tcW w:w="1131" w:type="pct"/>
            <w:shd w:val="clear" w:color="auto" w:fill="F2F2F2" w:themeFill="background1" w:themeFillShade="F2"/>
          </w:tcPr>
          <w:p w14:paraId="2B1470BC" w14:textId="19E13119" w:rsidR="00680704" w:rsidRPr="0002795D" w:rsidRDefault="00680704" w:rsidP="00680704">
            <w:pPr>
              <w:spacing w:before="120" w:after="120"/>
              <w:rPr>
                <w:color w:val="808080" w:themeColor="background1" w:themeShade="80"/>
              </w:rPr>
            </w:pPr>
          </w:p>
        </w:tc>
      </w:tr>
      <w:tr w:rsidR="00680704" w:rsidRPr="00112C72" w14:paraId="37CF73BD" w14:textId="77777777" w:rsidTr="002E1FC9">
        <w:trPr>
          <w:trHeight w:val="560"/>
        </w:trPr>
        <w:tc>
          <w:tcPr>
            <w:tcW w:w="1823" w:type="pct"/>
            <w:shd w:val="clear" w:color="auto" w:fill="auto"/>
          </w:tcPr>
          <w:p w14:paraId="6B317C49" w14:textId="77777777" w:rsidR="00680704" w:rsidRPr="001E0377" w:rsidRDefault="00680704" w:rsidP="00680704">
            <w:pPr>
              <w:spacing w:before="120" w:after="120"/>
            </w:pPr>
          </w:p>
        </w:tc>
        <w:tc>
          <w:tcPr>
            <w:tcW w:w="2046" w:type="pct"/>
            <w:shd w:val="clear" w:color="auto" w:fill="auto"/>
          </w:tcPr>
          <w:p w14:paraId="6479E38B" w14:textId="77777777" w:rsidR="00680704" w:rsidRPr="001E0377" w:rsidRDefault="00680704" w:rsidP="00680704">
            <w:pPr>
              <w:spacing w:before="120" w:after="120"/>
            </w:pPr>
          </w:p>
        </w:tc>
        <w:tc>
          <w:tcPr>
            <w:tcW w:w="1131" w:type="pct"/>
            <w:shd w:val="clear" w:color="auto" w:fill="F2F2F2" w:themeFill="background1" w:themeFillShade="F2"/>
          </w:tcPr>
          <w:p w14:paraId="331B4269" w14:textId="77777777" w:rsidR="00680704" w:rsidRPr="00B2603B" w:rsidRDefault="00680704" w:rsidP="00680704">
            <w:pPr>
              <w:spacing w:before="120" w:after="120"/>
              <w:rPr>
                <w:rStyle w:val="Normalformular"/>
                <w:color w:val="D9D9D9" w:themeColor="background1" w:themeShade="D9"/>
              </w:rPr>
            </w:pPr>
          </w:p>
        </w:tc>
      </w:tr>
    </w:tbl>
    <w:p w14:paraId="1766C4F3" w14:textId="5C9E6947" w:rsidR="00940221" w:rsidRDefault="00940221" w:rsidP="004C09A7">
      <w:pPr>
        <w:spacing w:before="120" w:after="120" w:line="240" w:lineRule="auto"/>
        <w:rPr>
          <w:sz w:val="24"/>
          <w:szCs w:val="24"/>
          <w:lang w:val="en-US"/>
        </w:rPr>
      </w:pPr>
    </w:p>
    <w:p w14:paraId="4439C22D" w14:textId="76DB1C13" w:rsidR="00940221" w:rsidRDefault="00940221" w:rsidP="004C09A7">
      <w:pPr>
        <w:spacing w:before="120" w:after="120" w:line="240" w:lineRule="auto"/>
        <w:rPr>
          <w:sz w:val="24"/>
          <w:szCs w:val="24"/>
          <w:lang w:val="en-US"/>
        </w:rPr>
      </w:pPr>
    </w:p>
    <w:p w14:paraId="4ED0FC0A" w14:textId="77777777" w:rsidR="00940221" w:rsidRPr="008667CF" w:rsidRDefault="00940221" w:rsidP="004C09A7">
      <w:pPr>
        <w:spacing w:before="120" w:after="120" w:line="240" w:lineRule="auto"/>
        <w:rPr>
          <w:sz w:val="24"/>
          <w:szCs w:val="24"/>
          <w:lang w:val="en-US"/>
        </w:rPr>
      </w:pPr>
    </w:p>
    <w:sectPr w:rsidR="00940221" w:rsidRPr="008667CF" w:rsidSect="00BB7910">
      <w:footerReference w:type="default" r:id="rId8"/>
      <w:pgSz w:w="11906" w:h="16838"/>
      <w:pgMar w:top="851" w:right="907" w:bottom="113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0BB82" w14:textId="77777777" w:rsidR="00C07FDA" w:rsidRDefault="00C07FDA" w:rsidP="00A30CAF">
      <w:pPr>
        <w:spacing w:after="0" w:line="240" w:lineRule="auto"/>
      </w:pPr>
      <w:r>
        <w:separator/>
      </w:r>
    </w:p>
  </w:endnote>
  <w:endnote w:type="continuationSeparator" w:id="0">
    <w:p w14:paraId="6F310CAC" w14:textId="77777777" w:rsidR="00C07FDA" w:rsidRDefault="00C07FDA" w:rsidP="00A30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562"/>
    </w:tblGrid>
    <w:tr w:rsidR="00B27B77" w14:paraId="778AAE6D" w14:textId="77777777" w:rsidTr="0090069A">
      <w:tc>
        <w:tcPr>
          <w:tcW w:w="9356" w:type="dxa"/>
        </w:tcPr>
        <w:p w14:paraId="2482D291" w14:textId="77777777" w:rsidR="00B27B77" w:rsidRDefault="00B27B77" w:rsidP="00B27B77">
          <w:pPr>
            <w:pStyle w:val="Sidefod"/>
            <w:jc w:val="right"/>
          </w:pPr>
          <w:r>
            <w:t>Find yderligere vejledning om udarbejdelse af studieordninger på:</w:t>
          </w:r>
        </w:p>
        <w:p w14:paraId="49D4CCC2" w14:textId="1B7361A3" w:rsidR="00B27B77" w:rsidRPr="00B2603B" w:rsidRDefault="00057934" w:rsidP="00B2603B">
          <w:pPr>
            <w:jc w:val="right"/>
            <w:rPr>
              <w:color w:val="03ABA1"/>
            </w:rPr>
          </w:pPr>
          <w:hyperlink r:id="rId1" w:history="1">
            <w:r w:rsidR="00B2603B" w:rsidRPr="00B2603B">
              <w:rPr>
                <w:rStyle w:val="Hyperlink"/>
                <w:color w:val="03ABA1"/>
              </w:rPr>
              <w:t>www.udarbejdstudieordninger.au.dk</w:t>
            </w:r>
          </w:hyperlink>
        </w:p>
      </w:tc>
      <w:tc>
        <w:tcPr>
          <w:tcW w:w="562" w:type="dxa"/>
          <w:shd w:val="clear" w:color="auto" w:fill="00ABA2"/>
        </w:tcPr>
        <w:sdt>
          <w:sdtPr>
            <w:id w:val="1776908776"/>
            <w:docPartObj>
              <w:docPartGallery w:val="Page Numbers (Bottom of Page)"/>
              <w:docPartUnique/>
            </w:docPartObj>
          </w:sdtPr>
          <w:sdtEndPr>
            <w:rPr>
              <w:b/>
            </w:rPr>
          </w:sdtEndPr>
          <w:sdtContent>
            <w:p w14:paraId="03BFFE47" w14:textId="271A1222" w:rsidR="00B27B77" w:rsidRPr="00EE30C5" w:rsidRDefault="00B27B77" w:rsidP="00B27B77">
              <w:pPr>
                <w:pStyle w:val="Sidefod"/>
                <w:spacing w:before="120" w:after="120"/>
                <w:jc w:val="center"/>
                <w:rPr>
                  <w:b/>
                </w:rPr>
              </w:pPr>
              <w:r w:rsidRPr="00EE30C5">
                <w:rPr>
                  <w:b/>
                  <w:color w:val="FFFFFF" w:themeColor="background1"/>
                </w:rPr>
                <w:fldChar w:fldCharType="begin"/>
              </w:r>
              <w:r w:rsidRPr="00EE30C5">
                <w:rPr>
                  <w:b/>
                  <w:color w:val="FFFFFF" w:themeColor="background1"/>
                </w:rPr>
                <w:instrText>PAGE   \* MERGEFORMAT</w:instrText>
              </w:r>
              <w:r w:rsidRPr="00EE30C5">
                <w:rPr>
                  <w:b/>
                  <w:color w:val="FFFFFF" w:themeColor="background1"/>
                </w:rPr>
                <w:fldChar w:fldCharType="separate"/>
              </w:r>
              <w:r w:rsidR="00057934">
                <w:rPr>
                  <w:b/>
                  <w:noProof/>
                  <w:color w:val="FFFFFF" w:themeColor="background1"/>
                </w:rPr>
                <w:t>1</w:t>
              </w:r>
              <w:r w:rsidRPr="00EE30C5">
                <w:rPr>
                  <w:b/>
                  <w:color w:val="FFFFFF" w:themeColor="background1"/>
                </w:rPr>
                <w:fldChar w:fldCharType="end"/>
              </w:r>
            </w:p>
          </w:sdtContent>
        </w:sdt>
      </w:tc>
    </w:tr>
  </w:tbl>
  <w:p w14:paraId="1A5250B0" w14:textId="77777777" w:rsidR="00B27B77" w:rsidRPr="00B27B77" w:rsidRDefault="00B27B77">
    <w:pPr>
      <w:pStyle w:val="Sidefod"/>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D47CD" w14:textId="77777777" w:rsidR="00C07FDA" w:rsidRDefault="00C07FDA" w:rsidP="00A30CAF">
      <w:pPr>
        <w:spacing w:after="0" w:line="240" w:lineRule="auto"/>
      </w:pPr>
      <w:r>
        <w:separator/>
      </w:r>
    </w:p>
  </w:footnote>
  <w:footnote w:type="continuationSeparator" w:id="0">
    <w:p w14:paraId="15D823A3" w14:textId="77777777" w:rsidR="00C07FDA" w:rsidRDefault="00C07FDA" w:rsidP="00A30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C8E2E5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85F42B5"/>
    <w:multiLevelType w:val="hybridMultilevel"/>
    <w:tmpl w:val="FB942634"/>
    <w:lvl w:ilvl="0" w:tplc="2126F5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112A8"/>
    <w:multiLevelType w:val="hybridMultilevel"/>
    <w:tmpl w:val="B6009D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C2A4BB9"/>
    <w:multiLevelType w:val="hybridMultilevel"/>
    <w:tmpl w:val="60E4993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DD5540E"/>
    <w:multiLevelType w:val="hybridMultilevel"/>
    <w:tmpl w:val="57EA2478"/>
    <w:lvl w:ilvl="0" w:tplc="EB8E4152">
      <w:start w:val="1"/>
      <w:numFmt w:val="decimal"/>
      <w:lvlText w:val="%1."/>
      <w:lvlJc w:val="left"/>
      <w:pPr>
        <w:ind w:left="720" w:hanging="360"/>
      </w:pPr>
      <w:rPr>
        <w:rFonts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E0C1F86"/>
    <w:multiLevelType w:val="hybridMultilevel"/>
    <w:tmpl w:val="1D2683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0997257"/>
    <w:multiLevelType w:val="hybridMultilevel"/>
    <w:tmpl w:val="ABD0F094"/>
    <w:lvl w:ilvl="0" w:tplc="3BA4904E">
      <w:start w:val="1"/>
      <w:numFmt w:val="decimal"/>
      <w:lvlText w:val="%1."/>
      <w:lvlJc w:val="left"/>
      <w:pPr>
        <w:ind w:left="720" w:hanging="360"/>
      </w:pPr>
      <w:rPr>
        <w:rFonts w:hint="default"/>
        <w:sz w:val="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C675176"/>
    <w:multiLevelType w:val="hybridMultilevel"/>
    <w:tmpl w:val="AC5A94B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2641526D"/>
    <w:multiLevelType w:val="hybridMultilevel"/>
    <w:tmpl w:val="CF62830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27563CDA"/>
    <w:multiLevelType w:val="hybridMultilevel"/>
    <w:tmpl w:val="849E1B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9C94AAF"/>
    <w:multiLevelType w:val="hybridMultilevel"/>
    <w:tmpl w:val="C37876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AB21A0C"/>
    <w:multiLevelType w:val="hybridMultilevel"/>
    <w:tmpl w:val="096CE608"/>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2" w15:restartNumberingAfterBreak="0">
    <w:nsid w:val="2BC31D03"/>
    <w:multiLevelType w:val="hybridMultilevel"/>
    <w:tmpl w:val="57886E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7732AA"/>
    <w:multiLevelType w:val="hybridMultilevel"/>
    <w:tmpl w:val="7862C0E4"/>
    <w:lvl w:ilvl="0" w:tplc="E91692F6">
      <w:start w:val="4"/>
      <w:numFmt w:val="bullet"/>
      <w:lvlText w:val="-"/>
      <w:lvlJc w:val="left"/>
      <w:pPr>
        <w:ind w:left="720" w:hanging="360"/>
      </w:pPr>
      <w:rPr>
        <w:rFonts w:ascii="Calibri" w:eastAsiaTheme="minorHAnsi" w:hAnsi="Calibri" w:cs="Calibri"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2FF24FF"/>
    <w:multiLevelType w:val="hybridMultilevel"/>
    <w:tmpl w:val="0DC0FF3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344575CA"/>
    <w:multiLevelType w:val="hybridMultilevel"/>
    <w:tmpl w:val="317CDB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8BA0090"/>
    <w:multiLevelType w:val="hybridMultilevel"/>
    <w:tmpl w:val="7F14AB2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43DE62B5"/>
    <w:multiLevelType w:val="hybridMultilevel"/>
    <w:tmpl w:val="0EEA71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FE601F3"/>
    <w:multiLevelType w:val="hybridMultilevel"/>
    <w:tmpl w:val="F0B03FF6"/>
    <w:lvl w:ilvl="0" w:tplc="BED6C8EE">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6DD2B23"/>
    <w:multiLevelType w:val="hybridMultilevel"/>
    <w:tmpl w:val="3000F60E"/>
    <w:lvl w:ilvl="0" w:tplc="4204ECC6">
      <w:numFmt w:val="bullet"/>
      <w:lvlText w:val="-"/>
      <w:lvlJc w:val="left"/>
      <w:pPr>
        <w:ind w:left="360" w:hanging="360"/>
      </w:pPr>
      <w:rPr>
        <w:rFonts w:ascii="Calibri" w:eastAsiaTheme="minorHAnsi" w:hAnsi="Calibri"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5B6D3F2F"/>
    <w:multiLevelType w:val="hybridMultilevel"/>
    <w:tmpl w:val="5336BE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8C52D2B"/>
    <w:multiLevelType w:val="hybridMultilevel"/>
    <w:tmpl w:val="1FF683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9291BC3"/>
    <w:multiLevelType w:val="hybridMultilevel"/>
    <w:tmpl w:val="A95CD5A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6C430AA0"/>
    <w:multiLevelType w:val="hybridMultilevel"/>
    <w:tmpl w:val="9FBC7D4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6D133A6F"/>
    <w:multiLevelType w:val="hybridMultilevel"/>
    <w:tmpl w:val="F8CAEF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12570BC"/>
    <w:multiLevelType w:val="hybridMultilevel"/>
    <w:tmpl w:val="5872A3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1C730E9"/>
    <w:multiLevelType w:val="hybridMultilevel"/>
    <w:tmpl w:val="ED86CB54"/>
    <w:lvl w:ilvl="0" w:tplc="E9981794">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71B0F72"/>
    <w:multiLevelType w:val="hybridMultilevel"/>
    <w:tmpl w:val="6BC4BAD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7A753598"/>
    <w:multiLevelType w:val="hybridMultilevel"/>
    <w:tmpl w:val="948406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CEC3FD2"/>
    <w:multiLevelType w:val="multilevel"/>
    <w:tmpl w:val="42566740"/>
    <w:lvl w:ilvl="0">
      <w:start w:val="1"/>
      <w:numFmt w:val="decimal"/>
      <w:lvlText w:val="%1"/>
      <w:lvlJc w:val="left"/>
      <w:pPr>
        <w:ind w:left="360" w:hanging="360"/>
      </w:pPr>
      <w:rPr>
        <w:rFonts w:hint="default"/>
        <w:sz w:val="22"/>
      </w:rPr>
    </w:lvl>
    <w:lvl w:ilvl="1">
      <w:start w:val="1"/>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30" w15:restartNumberingAfterBreak="0">
    <w:nsid w:val="7E456BFF"/>
    <w:multiLevelType w:val="hybridMultilevel"/>
    <w:tmpl w:val="B4EA17B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6"/>
  </w:num>
  <w:num w:numId="4">
    <w:abstractNumId w:val="14"/>
  </w:num>
  <w:num w:numId="5">
    <w:abstractNumId w:val="19"/>
  </w:num>
  <w:num w:numId="6">
    <w:abstractNumId w:val="13"/>
  </w:num>
  <w:num w:numId="7">
    <w:abstractNumId w:val="18"/>
  </w:num>
  <w:num w:numId="8">
    <w:abstractNumId w:val="26"/>
  </w:num>
  <w:num w:numId="9">
    <w:abstractNumId w:val="6"/>
  </w:num>
  <w:num w:numId="10">
    <w:abstractNumId w:val="4"/>
  </w:num>
  <w:num w:numId="11">
    <w:abstractNumId w:val="29"/>
  </w:num>
  <w:num w:numId="12">
    <w:abstractNumId w:val="7"/>
  </w:num>
  <w:num w:numId="13">
    <w:abstractNumId w:val="8"/>
  </w:num>
  <w:num w:numId="14">
    <w:abstractNumId w:val="25"/>
  </w:num>
  <w:num w:numId="15">
    <w:abstractNumId w:val="21"/>
  </w:num>
  <w:num w:numId="16">
    <w:abstractNumId w:val="5"/>
  </w:num>
  <w:num w:numId="17">
    <w:abstractNumId w:val="28"/>
  </w:num>
  <w:num w:numId="18">
    <w:abstractNumId w:val="15"/>
  </w:num>
  <w:num w:numId="19">
    <w:abstractNumId w:val="30"/>
  </w:num>
  <w:num w:numId="20">
    <w:abstractNumId w:val="2"/>
  </w:num>
  <w:num w:numId="21">
    <w:abstractNumId w:val="24"/>
  </w:num>
  <w:num w:numId="22">
    <w:abstractNumId w:val="11"/>
  </w:num>
  <w:num w:numId="23">
    <w:abstractNumId w:val="12"/>
  </w:num>
  <w:num w:numId="24">
    <w:abstractNumId w:val="22"/>
  </w:num>
  <w:num w:numId="25">
    <w:abstractNumId w:val="20"/>
  </w:num>
  <w:num w:numId="26">
    <w:abstractNumId w:val="17"/>
  </w:num>
  <w:num w:numId="27">
    <w:abstractNumId w:val="10"/>
  </w:num>
  <w:num w:numId="28">
    <w:abstractNumId w:val="9"/>
  </w:num>
  <w:num w:numId="29">
    <w:abstractNumId w:val="23"/>
  </w:num>
  <w:num w:numId="30">
    <w:abstractNumId w:val="27"/>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F6D"/>
    <w:rsid w:val="0001167D"/>
    <w:rsid w:val="0002795D"/>
    <w:rsid w:val="00057934"/>
    <w:rsid w:val="0009134A"/>
    <w:rsid w:val="000B21F0"/>
    <w:rsid w:val="000F70BD"/>
    <w:rsid w:val="00112C72"/>
    <w:rsid w:val="001225B4"/>
    <w:rsid w:val="00150341"/>
    <w:rsid w:val="00154CFE"/>
    <w:rsid w:val="00172B3D"/>
    <w:rsid w:val="001A628B"/>
    <w:rsid w:val="001B00DA"/>
    <w:rsid w:val="001E0377"/>
    <w:rsid w:val="001F6695"/>
    <w:rsid w:val="0024296E"/>
    <w:rsid w:val="002B26F2"/>
    <w:rsid w:val="002C00B4"/>
    <w:rsid w:val="002C28C6"/>
    <w:rsid w:val="002E1FC9"/>
    <w:rsid w:val="002F2065"/>
    <w:rsid w:val="00311F2E"/>
    <w:rsid w:val="00321619"/>
    <w:rsid w:val="003358B0"/>
    <w:rsid w:val="00361EF8"/>
    <w:rsid w:val="0036699D"/>
    <w:rsid w:val="003C0BE1"/>
    <w:rsid w:val="003D07BD"/>
    <w:rsid w:val="003D3348"/>
    <w:rsid w:val="003D7BD0"/>
    <w:rsid w:val="00467C09"/>
    <w:rsid w:val="004A48CF"/>
    <w:rsid w:val="004C09A7"/>
    <w:rsid w:val="00502EE1"/>
    <w:rsid w:val="0051460D"/>
    <w:rsid w:val="00531C30"/>
    <w:rsid w:val="00566B68"/>
    <w:rsid w:val="0059529A"/>
    <w:rsid w:val="00621284"/>
    <w:rsid w:val="00635BDA"/>
    <w:rsid w:val="00644F79"/>
    <w:rsid w:val="00662226"/>
    <w:rsid w:val="00680704"/>
    <w:rsid w:val="006A6189"/>
    <w:rsid w:val="006F52C4"/>
    <w:rsid w:val="007268AF"/>
    <w:rsid w:val="00777137"/>
    <w:rsid w:val="007A274F"/>
    <w:rsid w:val="007D5309"/>
    <w:rsid w:val="00802B0C"/>
    <w:rsid w:val="008113B5"/>
    <w:rsid w:val="0083354D"/>
    <w:rsid w:val="008667CF"/>
    <w:rsid w:val="00881219"/>
    <w:rsid w:val="00886FDC"/>
    <w:rsid w:val="008A5508"/>
    <w:rsid w:val="008F53E9"/>
    <w:rsid w:val="00916CB1"/>
    <w:rsid w:val="0092185A"/>
    <w:rsid w:val="009321A2"/>
    <w:rsid w:val="00940221"/>
    <w:rsid w:val="00943D2C"/>
    <w:rsid w:val="009458DC"/>
    <w:rsid w:val="00953D6B"/>
    <w:rsid w:val="0096653D"/>
    <w:rsid w:val="00985F83"/>
    <w:rsid w:val="009B01BB"/>
    <w:rsid w:val="009C2CE5"/>
    <w:rsid w:val="009F237F"/>
    <w:rsid w:val="00A30CAF"/>
    <w:rsid w:val="00A326F8"/>
    <w:rsid w:val="00A84193"/>
    <w:rsid w:val="00AD15BD"/>
    <w:rsid w:val="00AD731D"/>
    <w:rsid w:val="00AE3679"/>
    <w:rsid w:val="00AF2917"/>
    <w:rsid w:val="00B07630"/>
    <w:rsid w:val="00B2603B"/>
    <w:rsid w:val="00B27B77"/>
    <w:rsid w:val="00B37F70"/>
    <w:rsid w:val="00B63FB2"/>
    <w:rsid w:val="00B71EAA"/>
    <w:rsid w:val="00B7482B"/>
    <w:rsid w:val="00BB7910"/>
    <w:rsid w:val="00BD5F6D"/>
    <w:rsid w:val="00BE0864"/>
    <w:rsid w:val="00C05399"/>
    <w:rsid w:val="00C07789"/>
    <w:rsid w:val="00C07FDA"/>
    <w:rsid w:val="00C410EE"/>
    <w:rsid w:val="00C7439C"/>
    <w:rsid w:val="00CE6E6F"/>
    <w:rsid w:val="00CF59F6"/>
    <w:rsid w:val="00DA5B96"/>
    <w:rsid w:val="00DA607D"/>
    <w:rsid w:val="00E00869"/>
    <w:rsid w:val="00E31070"/>
    <w:rsid w:val="00E605B1"/>
    <w:rsid w:val="00E64A7A"/>
    <w:rsid w:val="00EC1F3C"/>
    <w:rsid w:val="00EE7F39"/>
    <w:rsid w:val="00F3696E"/>
    <w:rsid w:val="00F551C7"/>
    <w:rsid w:val="00F56507"/>
    <w:rsid w:val="00F83C0C"/>
    <w:rsid w:val="00FE76E3"/>
    <w:rsid w:val="00FE7D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4E29"/>
  <w15:chartTrackingRefBased/>
  <w15:docId w15:val="{EF9FB107-EA4D-43E4-8245-028855E5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467C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3">
    <w:name w:val="heading 3"/>
    <w:basedOn w:val="Normal"/>
    <w:link w:val="Overskrift3Tegn"/>
    <w:uiPriority w:val="9"/>
    <w:qFormat/>
    <w:rsid w:val="00A30CAF"/>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30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A30CAF"/>
    <w:rPr>
      <w:color w:val="808080"/>
    </w:rPr>
  </w:style>
  <w:style w:type="character" w:customStyle="1" w:styleId="Normalformular">
    <w:name w:val="Normal formular"/>
    <w:basedOn w:val="Standardskrifttypeiafsnit"/>
    <w:uiPriority w:val="1"/>
    <w:rsid w:val="00A30CAF"/>
    <w:rPr>
      <w:rFonts w:asciiTheme="minorHAnsi" w:hAnsiTheme="minorHAnsi"/>
      <w:sz w:val="22"/>
    </w:rPr>
  </w:style>
  <w:style w:type="character" w:styleId="Hyperlink">
    <w:name w:val="Hyperlink"/>
    <w:basedOn w:val="Standardskrifttypeiafsnit"/>
    <w:uiPriority w:val="99"/>
    <w:unhideWhenUsed/>
    <w:rsid w:val="00A30CAF"/>
    <w:rPr>
      <w:color w:val="0563C1" w:themeColor="hyperlink"/>
      <w:u w:val="single"/>
    </w:rPr>
  </w:style>
  <w:style w:type="character" w:customStyle="1" w:styleId="Overskrift3Tegn">
    <w:name w:val="Overskrift 3 Tegn"/>
    <w:basedOn w:val="Standardskrifttypeiafsnit"/>
    <w:link w:val="Overskrift3"/>
    <w:uiPriority w:val="9"/>
    <w:rsid w:val="00A30CAF"/>
    <w:rPr>
      <w:rFonts w:ascii="Times New Roman" w:eastAsia="Times New Roman" w:hAnsi="Times New Roman" w:cs="Times New Roman"/>
      <w:b/>
      <w:bCs/>
      <w:sz w:val="27"/>
      <w:szCs w:val="27"/>
      <w:lang w:eastAsia="da-DK"/>
    </w:rPr>
  </w:style>
  <w:style w:type="paragraph" w:styleId="Fodnotetekst">
    <w:name w:val="footnote text"/>
    <w:basedOn w:val="Normal"/>
    <w:link w:val="FodnotetekstTegn"/>
    <w:uiPriority w:val="99"/>
    <w:semiHidden/>
    <w:unhideWhenUsed/>
    <w:rsid w:val="00A30CA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30CAF"/>
    <w:rPr>
      <w:sz w:val="20"/>
      <w:szCs w:val="20"/>
    </w:rPr>
  </w:style>
  <w:style w:type="character" w:styleId="Fodnotehenvisning">
    <w:name w:val="footnote reference"/>
    <w:basedOn w:val="Standardskrifttypeiafsnit"/>
    <w:uiPriority w:val="99"/>
    <w:semiHidden/>
    <w:unhideWhenUsed/>
    <w:rsid w:val="00A30CAF"/>
    <w:rPr>
      <w:vertAlign w:val="superscript"/>
    </w:rPr>
  </w:style>
  <w:style w:type="paragraph" w:customStyle="1" w:styleId="Default">
    <w:name w:val="Default"/>
    <w:rsid w:val="00A30CAF"/>
    <w:pPr>
      <w:autoSpaceDE w:val="0"/>
      <w:autoSpaceDN w:val="0"/>
      <w:adjustRightInd w:val="0"/>
      <w:spacing w:after="0" w:line="240" w:lineRule="auto"/>
    </w:pPr>
    <w:rPr>
      <w:rFonts w:ascii="Calibri" w:hAnsi="Calibri" w:cs="Calibri"/>
      <w:color w:val="000000"/>
      <w:sz w:val="24"/>
      <w:szCs w:val="24"/>
    </w:rPr>
  </w:style>
  <w:style w:type="character" w:styleId="Kommentarhenvisning">
    <w:name w:val="annotation reference"/>
    <w:basedOn w:val="Standardskrifttypeiafsnit"/>
    <w:uiPriority w:val="99"/>
    <w:semiHidden/>
    <w:unhideWhenUsed/>
    <w:rsid w:val="00B71EAA"/>
    <w:rPr>
      <w:sz w:val="16"/>
      <w:szCs w:val="16"/>
    </w:rPr>
  </w:style>
  <w:style w:type="paragraph" w:styleId="Kommentartekst">
    <w:name w:val="annotation text"/>
    <w:basedOn w:val="Normal"/>
    <w:link w:val="KommentartekstTegn"/>
    <w:uiPriority w:val="99"/>
    <w:semiHidden/>
    <w:unhideWhenUsed/>
    <w:rsid w:val="00B71EA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71EAA"/>
    <w:rPr>
      <w:sz w:val="20"/>
      <w:szCs w:val="20"/>
    </w:rPr>
  </w:style>
  <w:style w:type="paragraph" w:styleId="Kommentaremne">
    <w:name w:val="annotation subject"/>
    <w:basedOn w:val="Kommentartekst"/>
    <w:next w:val="Kommentartekst"/>
    <w:link w:val="KommentaremneTegn"/>
    <w:uiPriority w:val="99"/>
    <w:semiHidden/>
    <w:unhideWhenUsed/>
    <w:rsid w:val="00B71EAA"/>
    <w:rPr>
      <w:b/>
      <w:bCs/>
    </w:rPr>
  </w:style>
  <w:style w:type="character" w:customStyle="1" w:styleId="KommentaremneTegn">
    <w:name w:val="Kommentaremne Tegn"/>
    <w:basedOn w:val="KommentartekstTegn"/>
    <w:link w:val="Kommentaremne"/>
    <w:uiPriority w:val="99"/>
    <w:semiHidden/>
    <w:rsid w:val="00B71EAA"/>
    <w:rPr>
      <w:b/>
      <w:bCs/>
      <w:sz w:val="20"/>
      <w:szCs w:val="20"/>
    </w:rPr>
  </w:style>
  <w:style w:type="paragraph" w:styleId="Markeringsbobletekst">
    <w:name w:val="Balloon Text"/>
    <w:basedOn w:val="Normal"/>
    <w:link w:val="MarkeringsbobletekstTegn"/>
    <w:uiPriority w:val="99"/>
    <w:semiHidden/>
    <w:unhideWhenUsed/>
    <w:rsid w:val="00B71EA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71EAA"/>
    <w:rPr>
      <w:rFonts w:ascii="Segoe UI" w:hAnsi="Segoe UI" w:cs="Segoe UI"/>
      <w:sz w:val="18"/>
      <w:szCs w:val="18"/>
    </w:rPr>
  </w:style>
  <w:style w:type="paragraph" w:styleId="Opstilling-punkttegn">
    <w:name w:val="List Bullet"/>
    <w:basedOn w:val="Normal"/>
    <w:uiPriority w:val="99"/>
    <w:unhideWhenUsed/>
    <w:rsid w:val="0009134A"/>
    <w:pPr>
      <w:numPr>
        <w:numId w:val="1"/>
      </w:numPr>
      <w:spacing w:after="200" w:line="276" w:lineRule="auto"/>
      <w:contextualSpacing/>
    </w:pPr>
  </w:style>
  <w:style w:type="paragraph" w:styleId="Listeafsnit">
    <w:name w:val="List Paragraph"/>
    <w:basedOn w:val="Normal"/>
    <w:uiPriority w:val="34"/>
    <w:qFormat/>
    <w:rsid w:val="0009134A"/>
    <w:pPr>
      <w:ind w:left="720"/>
      <w:contextualSpacing/>
    </w:pPr>
  </w:style>
  <w:style w:type="character" w:styleId="BesgtLink">
    <w:name w:val="FollowedHyperlink"/>
    <w:basedOn w:val="Standardskrifttypeiafsnit"/>
    <w:uiPriority w:val="99"/>
    <w:semiHidden/>
    <w:unhideWhenUsed/>
    <w:rsid w:val="00943D2C"/>
    <w:rPr>
      <w:color w:val="954F72" w:themeColor="followedHyperlink"/>
      <w:u w:val="single"/>
    </w:rPr>
  </w:style>
  <w:style w:type="paragraph" w:styleId="Korrektur">
    <w:name w:val="Revision"/>
    <w:hidden/>
    <w:uiPriority w:val="99"/>
    <w:semiHidden/>
    <w:rsid w:val="00916CB1"/>
    <w:pPr>
      <w:spacing w:after="0" w:line="240" w:lineRule="auto"/>
    </w:pPr>
  </w:style>
  <w:style w:type="character" w:customStyle="1" w:styleId="Overskrift1Tegn">
    <w:name w:val="Overskrift 1 Tegn"/>
    <w:basedOn w:val="Standardskrifttypeiafsnit"/>
    <w:link w:val="Overskrift1"/>
    <w:uiPriority w:val="9"/>
    <w:rsid w:val="00467C09"/>
    <w:rPr>
      <w:rFonts w:asciiTheme="majorHAnsi" w:eastAsiaTheme="majorEastAsia" w:hAnsiTheme="majorHAnsi" w:cstheme="majorBidi"/>
      <w:color w:val="2E74B5" w:themeColor="accent1" w:themeShade="BF"/>
      <w:sz w:val="32"/>
      <w:szCs w:val="32"/>
    </w:rPr>
  </w:style>
  <w:style w:type="paragraph" w:styleId="Titel">
    <w:name w:val="Title"/>
    <w:basedOn w:val="Normal"/>
    <w:next w:val="Normal"/>
    <w:link w:val="TitelTegn"/>
    <w:uiPriority w:val="10"/>
    <w:qFormat/>
    <w:rsid w:val="00467C09"/>
    <w:pPr>
      <w:jc w:val="center"/>
    </w:pPr>
    <w:rPr>
      <w:b/>
      <w:sz w:val="40"/>
      <w:szCs w:val="24"/>
    </w:rPr>
  </w:style>
  <w:style w:type="character" w:customStyle="1" w:styleId="TitelTegn">
    <w:name w:val="Titel Tegn"/>
    <w:basedOn w:val="Standardskrifttypeiafsnit"/>
    <w:link w:val="Titel"/>
    <w:uiPriority w:val="10"/>
    <w:rsid w:val="00467C09"/>
    <w:rPr>
      <w:b/>
      <w:sz w:val="40"/>
      <w:szCs w:val="24"/>
    </w:rPr>
  </w:style>
  <w:style w:type="paragraph" w:styleId="Sidehoved">
    <w:name w:val="header"/>
    <w:basedOn w:val="Normal"/>
    <w:link w:val="SidehovedTegn"/>
    <w:uiPriority w:val="99"/>
    <w:unhideWhenUsed/>
    <w:rsid w:val="00B27B77"/>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B27B77"/>
  </w:style>
  <w:style w:type="paragraph" w:styleId="Sidefod">
    <w:name w:val="footer"/>
    <w:basedOn w:val="Normal"/>
    <w:link w:val="SidefodTegn"/>
    <w:uiPriority w:val="99"/>
    <w:unhideWhenUsed/>
    <w:rsid w:val="00B27B77"/>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B27B77"/>
  </w:style>
  <w:style w:type="character" w:customStyle="1" w:styleId="UnresolvedMention">
    <w:name w:val="Unresolved Mention"/>
    <w:basedOn w:val="Standardskrifttypeiafsnit"/>
    <w:uiPriority w:val="99"/>
    <w:semiHidden/>
    <w:unhideWhenUsed/>
    <w:rsid w:val="00B2603B"/>
    <w:rPr>
      <w:color w:val="605E5C"/>
      <w:shd w:val="clear" w:color="auto" w:fill="E1DFDD"/>
    </w:rPr>
  </w:style>
  <w:style w:type="table" w:customStyle="1" w:styleId="Tabel-Gitter1">
    <w:name w:val="Tabel - Gitter1"/>
    <w:basedOn w:val="Tabel-Normal"/>
    <w:next w:val="Tabel-Gitter"/>
    <w:uiPriority w:val="59"/>
    <w:rsid w:val="00057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270260">
      <w:bodyDiv w:val="1"/>
      <w:marLeft w:val="0"/>
      <w:marRight w:val="0"/>
      <w:marTop w:val="0"/>
      <w:marBottom w:val="0"/>
      <w:divBdr>
        <w:top w:val="none" w:sz="0" w:space="0" w:color="auto"/>
        <w:left w:val="none" w:sz="0" w:space="0" w:color="auto"/>
        <w:bottom w:val="none" w:sz="0" w:space="0" w:color="auto"/>
        <w:right w:val="none" w:sz="0" w:space="0" w:color="auto"/>
      </w:divBdr>
    </w:div>
    <w:div w:id="101811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darbejdstudieordninger.au.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FAD7A-5822-4A28-929A-2C5FEF4E2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292</Words>
  <Characters>1783</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University</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Annike Vestergaard Martínez</dc:creator>
  <cp:keywords/>
  <dc:description/>
  <cp:lastModifiedBy>Maja Sloth Thuborg</cp:lastModifiedBy>
  <cp:revision>3</cp:revision>
  <dcterms:created xsi:type="dcterms:W3CDTF">2020-02-04T08:40:00Z</dcterms:created>
  <dcterms:modified xsi:type="dcterms:W3CDTF">2020-05-06T12:00:00Z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