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4CA7E" w14:textId="2DEC94ED" w:rsidR="00467C09" w:rsidRDefault="00467C09" w:rsidP="004C09A7">
      <w:pPr>
        <w:pStyle w:val="Titel"/>
        <w:spacing w:before="120" w:after="120" w:line="240" w:lineRule="auto"/>
      </w:pPr>
      <w:r w:rsidRPr="00673E28">
        <w:t xml:space="preserve">SKABELON: </w:t>
      </w:r>
      <w:r w:rsidR="00EF309F">
        <w:t>DIPLOMA SUPPLEMENT</w:t>
      </w:r>
    </w:p>
    <w:p w14:paraId="681A108D" w14:textId="7A1BC641" w:rsidR="00CB4364" w:rsidRPr="00CB4364" w:rsidRDefault="00CB4364" w:rsidP="00CB4364">
      <w:r w:rsidRPr="0064273E">
        <w:rPr>
          <w:sz w:val="20"/>
        </w:rPr>
        <w:t xml:space="preserve">Et </w:t>
      </w:r>
      <w:proofErr w:type="spellStart"/>
      <w:r w:rsidRPr="0064273E">
        <w:rPr>
          <w:sz w:val="20"/>
        </w:rPr>
        <w:t>Diploma</w:t>
      </w:r>
      <w:proofErr w:type="spellEnd"/>
      <w:r w:rsidRPr="0064273E">
        <w:rPr>
          <w:sz w:val="20"/>
        </w:rPr>
        <w:t xml:space="preserve"> Supplement (DS-tillæg) indeholder en beskrivelse af uddannelsen – herunder indhold, omfang, </w:t>
      </w:r>
      <w:r>
        <w:rPr>
          <w:sz w:val="20"/>
        </w:rPr>
        <w:t xml:space="preserve">niveau og erhvervskompetencer. </w:t>
      </w:r>
      <w:r w:rsidRPr="0064273E">
        <w:rPr>
          <w:sz w:val="20"/>
        </w:rPr>
        <w:t xml:space="preserve">Desuden indeholder DS-tillægget en generisk beskrivelse af Aarhus Universitet og det danske uddannelsessystem. De studerende kan bruge DS-tillægget til at søge arbejde i udlandet. Udenlandske arbejdsgivere, som ansætter medarbejdere med en dansk videregående uddannelse, kan have glæde af at læse </w:t>
      </w:r>
      <w:proofErr w:type="spellStart"/>
      <w:r w:rsidRPr="0064273E">
        <w:rPr>
          <w:sz w:val="20"/>
        </w:rPr>
        <w:t>Diploma</w:t>
      </w:r>
      <w:proofErr w:type="spellEnd"/>
      <w:r w:rsidRPr="0064273E">
        <w:rPr>
          <w:sz w:val="20"/>
        </w:rPr>
        <w:t xml:space="preserve"> Supplement, fordi det gør det nemmere at forstå de studerendes faglige baggrund, og hvilke kompetencer de har opnået gennem deres uddannelse.</w:t>
      </w:r>
      <w:r>
        <w:rPr>
          <w:sz w:val="20"/>
        </w:rPr>
        <w:t xml:space="preserve"> </w:t>
      </w:r>
      <w:proofErr w:type="spellStart"/>
      <w:r w:rsidRPr="0064273E">
        <w:rPr>
          <w:sz w:val="20"/>
        </w:rPr>
        <w:t>Diploma</w:t>
      </w:r>
      <w:proofErr w:type="spellEnd"/>
      <w:r w:rsidRPr="0064273E">
        <w:rPr>
          <w:sz w:val="20"/>
        </w:rPr>
        <w:t xml:space="preserve"> Supplement kan ligeledes benyttes, hvis de studerende skal videreuddanne sig i udlandet, fx hvis de ønsker at søge optagelse på en udenlandsk master- eller ph.d.-uddannelse.</w:t>
      </w: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5648"/>
        <w:gridCol w:w="4398"/>
      </w:tblGrid>
      <w:tr w:rsidR="00467C09" w:rsidRPr="00112C72" w14:paraId="1FD503CB" w14:textId="77777777" w:rsidTr="00E04CB4">
        <w:trPr>
          <w:trHeight w:val="456"/>
        </w:trPr>
        <w:tc>
          <w:tcPr>
            <w:tcW w:w="5000" w:type="pct"/>
            <w:gridSpan w:val="2"/>
            <w:tcBorders>
              <w:bottom w:val="nil"/>
            </w:tcBorders>
            <w:shd w:val="clear" w:color="auto" w:fill="00ABA2"/>
            <w:vAlign w:val="center"/>
          </w:tcPr>
          <w:p w14:paraId="7318F752" w14:textId="48626A4C" w:rsidR="00467C09" w:rsidRPr="00467C09" w:rsidRDefault="00467C09" w:rsidP="004C09A7">
            <w:pPr>
              <w:pStyle w:val="Overskrift1"/>
              <w:spacing w:before="120" w:after="120"/>
              <w:jc w:val="center"/>
              <w:outlineLvl w:val="0"/>
              <w:rPr>
                <w:rStyle w:val="Normalformular"/>
                <w:rFonts w:cstheme="minorHAnsi"/>
                <w:color w:val="000000" w:themeColor="text1"/>
                <w:sz w:val="32"/>
              </w:rPr>
            </w:pPr>
            <w:r w:rsidRPr="00467C09">
              <w:rPr>
                <w:rFonts w:asciiTheme="minorHAnsi" w:hAnsiTheme="minorHAnsi" w:cstheme="minorHAnsi"/>
                <w:color w:val="000000" w:themeColor="text1"/>
              </w:rPr>
              <w:t>Uddannelse</w:t>
            </w:r>
          </w:p>
        </w:tc>
      </w:tr>
      <w:tr w:rsidR="00EF309F" w:rsidRPr="00112C72" w14:paraId="63E33FEC" w14:textId="77777777" w:rsidTr="00EC2B0E">
        <w:trPr>
          <w:trHeight w:val="456"/>
        </w:trPr>
        <w:tc>
          <w:tcPr>
            <w:tcW w:w="5000" w:type="pct"/>
            <w:gridSpan w:val="2"/>
            <w:tcBorders>
              <w:top w:val="nil"/>
              <w:bottom w:val="single" w:sz="18" w:space="0" w:color="00ABA4"/>
            </w:tcBorders>
            <w:shd w:val="clear" w:color="auto" w:fill="auto"/>
          </w:tcPr>
          <w:p w14:paraId="49FF5817" w14:textId="5DD7BCF2" w:rsidR="00EF309F" w:rsidRDefault="00EF309F" w:rsidP="00EF309F">
            <w:pPr>
              <w:spacing w:before="120" w:after="120"/>
              <w:rPr>
                <w:rStyle w:val="Normalformular"/>
                <w:color w:val="808080" w:themeColor="background1" w:themeShade="80"/>
                <w:sz w:val="24"/>
                <w:szCs w:val="24"/>
              </w:rPr>
            </w:pPr>
            <w:r>
              <w:rPr>
                <w:color w:val="808080" w:themeColor="background1" w:themeShade="80"/>
              </w:rPr>
              <w:t>Fx ”Kandidatuddannelsen i antropologi”</w:t>
            </w:r>
          </w:p>
        </w:tc>
      </w:tr>
      <w:tr w:rsidR="00EC2B0E" w:rsidRPr="004668BF" w14:paraId="773A3E8F" w14:textId="77777777" w:rsidTr="00EC2B0E">
        <w:trPr>
          <w:trHeight w:val="456"/>
        </w:trPr>
        <w:tc>
          <w:tcPr>
            <w:tcW w:w="5000" w:type="pct"/>
            <w:gridSpan w:val="2"/>
            <w:tcBorders>
              <w:top w:val="single" w:sz="18" w:space="0" w:color="00ABA4"/>
              <w:bottom w:val="single" w:sz="4" w:space="0" w:color="auto"/>
            </w:tcBorders>
            <w:shd w:val="clear" w:color="auto" w:fill="00ABA2"/>
          </w:tcPr>
          <w:p w14:paraId="2C6D469A" w14:textId="430060C6" w:rsidR="00EC2B0E" w:rsidRPr="004668BF" w:rsidRDefault="004668BF" w:rsidP="00800517">
            <w:pPr>
              <w:pStyle w:val="Overskrift1"/>
              <w:spacing w:before="120" w:after="120"/>
              <w:jc w:val="center"/>
              <w:outlineLvl w:val="0"/>
              <w:rPr>
                <w:b/>
                <w:color w:val="0563C1" w:themeColor="hyperlink"/>
                <w:sz w:val="24"/>
                <w:szCs w:val="24"/>
                <w:lang w:val="en-US"/>
              </w:rPr>
            </w:pPr>
            <w:hyperlink w:anchor="Kvalifikationsramme" w:tooltip="Uddannelsens kompetenceprofil skal spejles i ministeriets Kvalifikationsramme for videregående uddannelser for at sikre at kompetencedimensionerne og kompleksiteten aligner med uddannelsesniveauet. Kvalifikationsrammen er indsat i kolonnen herunder." w:history="1">
              <w:r w:rsidR="00EC2B0E" w:rsidRPr="004668BF">
                <w:rPr>
                  <w:rFonts w:asciiTheme="minorHAnsi" w:hAnsiTheme="minorHAnsi" w:cstheme="minorHAnsi"/>
                  <w:b/>
                  <w:color w:val="000000" w:themeColor="text1"/>
                  <w:sz w:val="24"/>
                  <w:szCs w:val="24"/>
                  <w:lang w:val="en-US"/>
                </w:rPr>
                <w:t xml:space="preserve">Main field(s) of study for the qualification </w:t>
              </w:r>
            </w:hyperlink>
          </w:p>
        </w:tc>
      </w:tr>
      <w:tr w:rsidR="00566B68" w:rsidRPr="004668BF" w14:paraId="1BD04894" w14:textId="77777777" w:rsidTr="00800517">
        <w:trPr>
          <w:trHeight w:val="517"/>
        </w:trPr>
        <w:tc>
          <w:tcPr>
            <w:tcW w:w="2811" w:type="pct"/>
            <w:tcBorders>
              <w:top w:val="single" w:sz="4" w:space="0" w:color="auto"/>
              <w:bottom w:val="single" w:sz="18" w:space="0" w:color="00ABA4"/>
            </w:tcBorders>
            <w:shd w:val="clear" w:color="auto" w:fill="F6F4F8"/>
          </w:tcPr>
          <w:p w14:paraId="68D9F8C2" w14:textId="58429C46" w:rsidR="00EC2B0E" w:rsidRPr="00EC2B0E" w:rsidRDefault="00EC2B0E" w:rsidP="00EC2B0E">
            <w:r w:rsidRPr="00EC2B0E">
              <w:t xml:space="preserve">Beskriv uddannelsens fagområde i en kort generel tekst der beskriver det eller de hovedfagområde(r), uddannelsen dækker. </w:t>
            </w:r>
          </w:p>
          <w:p w14:paraId="3F15076F" w14:textId="0D2926C9" w:rsidR="00EC2B0E" w:rsidRPr="00EF309F" w:rsidRDefault="00EC2B0E" w:rsidP="00EC2B0E">
            <w:pPr>
              <w:spacing w:before="120" w:after="120"/>
              <w:rPr>
                <w:rStyle w:val="Normalformular"/>
                <w:lang w:val="en-US"/>
              </w:rPr>
            </w:pPr>
            <w:proofErr w:type="spellStart"/>
            <w:r w:rsidRPr="00EC2B0E">
              <w:rPr>
                <w:i/>
                <w:lang w:val="en-US"/>
              </w:rPr>
              <w:t>Eksempel</w:t>
            </w:r>
            <w:proofErr w:type="spellEnd"/>
            <w:r w:rsidRPr="00EC2B0E">
              <w:rPr>
                <w:i/>
                <w:lang w:val="en-US"/>
              </w:rPr>
              <w:t xml:space="preserve"> </w:t>
            </w:r>
            <w:proofErr w:type="spellStart"/>
            <w:r w:rsidRPr="00EC2B0E">
              <w:rPr>
                <w:i/>
                <w:lang w:val="en-US"/>
              </w:rPr>
              <w:t>Bacheloruddannelsen</w:t>
            </w:r>
            <w:proofErr w:type="spellEnd"/>
            <w:r w:rsidRPr="00EC2B0E">
              <w:rPr>
                <w:i/>
                <w:lang w:val="en-US"/>
              </w:rPr>
              <w:t xml:space="preserve"> </w:t>
            </w:r>
            <w:proofErr w:type="spellStart"/>
            <w:r w:rsidRPr="00EC2B0E">
              <w:rPr>
                <w:i/>
                <w:lang w:val="en-US"/>
              </w:rPr>
              <w:t>i</w:t>
            </w:r>
            <w:proofErr w:type="spellEnd"/>
            <w:r w:rsidRPr="00EC2B0E">
              <w:rPr>
                <w:i/>
                <w:lang w:val="en-US"/>
              </w:rPr>
              <w:t xml:space="preserve"> </w:t>
            </w:r>
            <w:proofErr w:type="spellStart"/>
            <w:r w:rsidRPr="00EC2B0E">
              <w:rPr>
                <w:i/>
                <w:lang w:val="en-US"/>
              </w:rPr>
              <w:t>engelsk</w:t>
            </w:r>
            <w:proofErr w:type="spellEnd"/>
            <w:r w:rsidRPr="00EC2B0E">
              <w:rPr>
                <w:i/>
                <w:lang w:val="en-US"/>
              </w:rPr>
              <w:t xml:space="preserve">: </w:t>
            </w:r>
            <w:bookmarkStart w:id="0" w:name="_GoBack"/>
            <w:bookmarkEnd w:id="0"/>
            <w:r w:rsidRPr="00EC2B0E">
              <w:rPr>
                <w:i/>
                <w:lang w:val="en-US"/>
              </w:rPr>
              <w:br/>
              <w:t xml:space="preserve">“The degree </w:t>
            </w:r>
            <w:proofErr w:type="spellStart"/>
            <w:r w:rsidRPr="00EC2B0E">
              <w:rPr>
                <w:i/>
                <w:lang w:val="en-US"/>
              </w:rPr>
              <w:t>programme</w:t>
            </w:r>
            <w:proofErr w:type="spellEnd"/>
            <w:r w:rsidRPr="00EC2B0E">
              <w:rPr>
                <w:i/>
                <w:lang w:val="en-US"/>
              </w:rPr>
              <w:t xml:space="preserve"> covers topics within the main research areas associated with English studies, namely the language, literature/culture and history/society of English-speaking countries. It teaches theory, knowledge, academic methods and skills relevant to these areas.”</w:t>
            </w:r>
          </w:p>
        </w:tc>
        <w:tc>
          <w:tcPr>
            <w:tcW w:w="2189" w:type="pct"/>
            <w:tcBorders>
              <w:top w:val="single" w:sz="4" w:space="0" w:color="auto"/>
              <w:bottom w:val="single" w:sz="18" w:space="0" w:color="00ABA4"/>
            </w:tcBorders>
            <w:shd w:val="clear" w:color="auto" w:fill="auto"/>
          </w:tcPr>
          <w:p w14:paraId="24CB06CA" w14:textId="34BE64D9" w:rsidR="00566B68" w:rsidRPr="00800517" w:rsidRDefault="00566B68" w:rsidP="006F2050">
            <w:pPr>
              <w:rPr>
                <w:lang w:val="en-US"/>
              </w:rPr>
            </w:pPr>
            <w:bookmarkStart w:id="1" w:name="viden_færdigheder_kompetencer"/>
            <w:bookmarkEnd w:id="1"/>
          </w:p>
        </w:tc>
      </w:tr>
      <w:tr w:rsidR="00EC2B0E" w:rsidRPr="00CB4364" w14:paraId="477AF040" w14:textId="77777777" w:rsidTr="00EC2B0E">
        <w:trPr>
          <w:trHeight w:val="544"/>
        </w:trPr>
        <w:tc>
          <w:tcPr>
            <w:tcW w:w="5000" w:type="pct"/>
            <w:gridSpan w:val="2"/>
            <w:tcBorders>
              <w:bottom w:val="single" w:sz="4" w:space="0" w:color="auto"/>
            </w:tcBorders>
            <w:shd w:val="clear" w:color="auto" w:fill="00ABA2"/>
            <w:vAlign w:val="center"/>
          </w:tcPr>
          <w:p w14:paraId="3D9CE7F1" w14:textId="04105A72" w:rsidR="00EC2B0E" w:rsidRDefault="00800517" w:rsidP="00800517">
            <w:pPr>
              <w:pStyle w:val="Overskrift1"/>
              <w:spacing w:before="120" w:after="120"/>
              <w:jc w:val="center"/>
              <w:outlineLvl w:val="0"/>
              <w:rPr>
                <w:color w:val="808080" w:themeColor="background1" w:themeShade="80"/>
              </w:rPr>
            </w:pPr>
            <w:r w:rsidRPr="004668BF">
              <w:rPr>
                <w:rFonts w:asciiTheme="minorHAnsi" w:hAnsiTheme="minorHAnsi" w:cstheme="minorHAnsi"/>
                <w:b/>
                <w:color w:val="000000" w:themeColor="text1"/>
                <w:sz w:val="24"/>
                <w:szCs w:val="24"/>
                <w:lang w:val="en-US"/>
              </w:rPr>
              <w:t xml:space="preserve">Programme </w:t>
            </w:r>
            <w:proofErr w:type="spellStart"/>
            <w:r w:rsidRPr="004668BF">
              <w:rPr>
                <w:rFonts w:asciiTheme="minorHAnsi" w:hAnsiTheme="minorHAnsi" w:cstheme="minorHAnsi"/>
                <w:b/>
                <w:color w:val="000000" w:themeColor="text1"/>
                <w:sz w:val="24"/>
                <w:szCs w:val="24"/>
                <w:lang w:val="en-US"/>
              </w:rPr>
              <w:t>requirements</w:t>
            </w:r>
            <w:proofErr w:type="spellEnd"/>
          </w:p>
        </w:tc>
      </w:tr>
      <w:tr w:rsidR="00566B68" w:rsidRPr="004668BF" w14:paraId="3A0C2D05" w14:textId="77777777" w:rsidTr="00800517">
        <w:trPr>
          <w:trHeight w:val="818"/>
        </w:trPr>
        <w:tc>
          <w:tcPr>
            <w:tcW w:w="2811" w:type="pct"/>
            <w:tcBorders>
              <w:top w:val="single" w:sz="4" w:space="0" w:color="auto"/>
              <w:bottom w:val="single" w:sz="18" w:space="0" w:color="00ABA4"/>
            </w:tcBorders>
            <w:shd w:val="clear" w:color="auto" w:fill="F6F4F8"/>
          </w:tcPr>
          <w:p w14:paraId="215B323C" w14:textId="51B9D8E9" w:rsidR="00800517" w:rsidRPr="00800517" w:rsidRDefault="00800517" w:rsidP="00800517">
            <w:r>
              <w:t>Beskriv</w:t>
            </w:r>
            <w:r w:rsidRPr="00800517">
              <w:t xml:space="preserve"> de studerendes forventede læringsudbytte af uddannelsen: hvilke viden, færdigheder og kompetencer forventes de studerende at have tilegnet sig efter gennemførelse af uddannelsen. Dette vil ofte være beskrevet i studieordningens afsnit 1.1 ”Uddannelsens faglige retning og vigtigste fagområder”.</w:t>
            </w:r>
            <w:r w:rsidRPr="00800517">
              <w:br/>
            </w:r>
          </w:p>
          <w:p w14:paraId="42A2EA2F" w14:textId="77777777" w:rsidR="00800517" w:rsidRPr="00800517" w:rsidRDefault="00800517" w:rsidP="00800517">
            <w:pPr>
              <w:rPr>
                <w:i/>
                <w:lang w:val="en-US"/>
              </w:rPr>
            </w:pPr>
            <w:proofErr w:type="spellStart"/>
            <w:r w:rsidRPr="00800517">
              <w:rPr>
                <w:i/>
                <w:lang w:val="en-US"/>
              </w:rPr>
              <w:t>Eksempel</w:t>
            </w:r>
            <w:proofErr w:type="spellEnd"/>
            <w:r w:rsidRPr="00800517">
              <w:rPr>
                <w:i/>
                <w:lang w:val="en-US"/>
              </w:rPr>
              <w:t xml:space="preserve"> </w:t>
            </w:r>
            <w:proofErr w:type="spellStart"/>
            <w:r w:rsidRPr="00800517">
              <w:rPr>
                <w:i/>
                <w:lang w:val="en-US"/>
              </w:rPr>
              <w:t>Bacheloruddannelsen</w:t>
            </w:r>
            <w:proofErr w:type="spellEnd"/>
            <w:r w:rsidRPr="00800517">
              <w:rPr>
                <w:i/>
                <w:lang w:val="en-US"/>
              </w:rPr>
              <w:t xml:space="preserve"> </w:t>
            </w:r>
            <w:proofErr w:type="spellStart"/>
            <w:r w:rsidRPr="00800517">
              <w:rPr>
                <w:i/>
                <w:lang w:val="en-US"/>
              </w:rPr>
              <w:t>i</w:t>
            </w:r>
            <w:proofErr w:type="spellEnd"/>
            <w:r w:rsidRPr="00800517">
              <w:rPr>
                <w:i/>
                <w:lang w:val="en-US"/>
              </w:rPr>
              <w:t xml:space="preserve"> </w:t>
            </w:r>
            <w:proofErr w:type="spellStart"/>
            <w:r w:rsidRPr="00800517">
              <w:rPr>
                <w:i/>
                <w:lang w:val="en-US"/>
              </w:rPr>
              <w:t>arkæologi</w:t>
            </w:r>
            <w:proofErr w:type="spellEnd"/>
            <w:r w:rsidRPr="00800517">
              <w:rPr>
                <w:i/>
                <w:lang w:val="en-US"/>
              </w:rPr>
              <w:t xml:space="preserve">: </w:t>
            </w:r>
          </w:p>
          <w:p w14:paraId="207D1D66" w14:textId="7EFEE45D" w:rsidR="00566B68" w:rsidRPr="00800517" w:rsidRDefault="00800517" w:rsidP="00800517">
            <w:pPr>
              <w:spacing w:before="120" w:after="120"/>
              <w:rPr>
                <w:rStyle w:val="Normalformular"/>
                <w:lang w:val="en-US"/>
              </w:rPr>
            </w:pPr>
            <w:r w:rsidRPr="00800517">
              <w:rPr>
                <w:i/>
                <w:lang w:val="en-US"/>
              </w:rPr>
              <w:t xml:space="preserve">“The content of the degree </w:t>
            </w:r>
            <w:proofErr w:type="spellStart"/>
            <w:r w:rsidRPr="00800517">
              <w:rPr>
                <w:i/>
                <w:lang w:val="en-US"/>
              </w:rPr>
              <w:t>programme</w:t>
            </w:r>
            <w:proofErr w:type="spellEnd"/>
            <w:r w:rsidRPr="00800517">
              <w:rPr>
                <w:i/>
                <w:lang w:val="en-US"/>
              </w:rPr>
              <w:t xml:space="preserve"> complies with the following requirements: Knowledge of techniques and methods associated with fieldwork. Ability to adopt a systematic, analytical approach in converting observations into data. Insight into critical consideration of sources associated with the formation of archaeological data. Insight into theoretical approaches to the research process and to the understanding of culture and society. Insight into the interpretation frameworks used in archaeology and history. Insight into the function of material culture in reproduction and social strategies in a society. General knowledge of cultural development in Europe in prehistoric and historic periods and a basic understanding of natural science used in archaeology. </w:t>
            </w:r>
            <w:r w:rsidRPr="00800517">
              <w:rPr>
                <w:i/>
                <w:lang w:val="en-US"/>
              </w:rPr>
              <w:br/>
              <w:t xml:space="preserve">The </w:t>
            </w:r>
            <w:proofErr w:type="spellStart"/>
            <w:r w:rsidRPr="00800517">
              <w:rPr>
                <w:i/>
                <w:lang w:val="en-US"/>
              </w:rPr>
              <w:t>specialisation</w:t>
            </w:r>
            <w:proofErr w:type="spellEnd"/>
            <w:r w:rsidRPr="00800517">
              <w:rPr>
                <w:i/>
                <w:lang w:val="en-US"/>
              </w:rPr>
              <w:t xml:space="preserve"> in historical archaeology provides basic knowledge for the interpretation of written and pictorial </w:t>
            </w:r>
            <w:r w:rsidRPr="00800517">
              <w:rPr>
                <w:i/>
                <w:lang w:val="en-US"/>
              </w:rPr>
              <w:lastRenderedPageBreak/>
              <w:t xml:space="preserve">sources and historical processes in Europe in a </w:t>
            </w:r>
            <w:proofErr w:type="spellStart"/>
            <w:r w:rsidRPr="00800517">
              <w:rPr>
                <w:i/>
                <w:lang w:val="en-US"/>
              </w:rPr>
              <w:t>world wide</w:t>
            </w:r>
            <w:proofErr w:type="spellEnd"/>
            <w:r w:rsidRPr="00800517">
              <w:rPr>
                <w:i/>
                <w:lang w:val="en-US"/>
              </w:rPr>
              <w:t xml:space="preserve"> perspective.”</w:t>
            </w:r>
          </w:p>
        </w:tc>
        <w:tc>
          <w:tcPr>
            <w:tcW w:w="2189" w:type="pct"/>
            <w:tcBorders>
              <w:top w:val="single" w:sz="4" w:space="0" w:color="auto"/>
              <w:bottom w:val="single" w:sz="18" w:space="0" w:color="00ABA4"/>
            </w:tcBorders>
            <w:shd w:val="clear" w:color="auto" w:fill="auto"/>
          </w:tcPr>
          <w:p w14:paraId="02E8DA52" w14:textId="3A765D16" w:rsidR="00BB7910" w:rsidRPr="00800517" w:rsidRDefault="00BB7910" w:rsidP="00C64646">
            <w:pPr>
              <w:rPr>
                <w:rStyle w:val="Normalformular"/>
                <w:lang w:val="en-US"/>
              </w:rPr>
            </w:pPr>
          </w:p>
        </w:tc>
      </w:tr>
      <w:tr w:rsidR="00EC2B0E" w:rsidRPr="00CB4364" w14:paraId="3C7787E8" w14:textId="77777777" w:rsidTr="00EC2B0E">
        <w:trPr>
          <w:trHeight w:val="560"/>
        </w:trPr>
        <w:tc>
          <w:tcPr>
            <w:tcW w:w="5000" w:type="pct"/>
            <w:gridSpan w:val="2"/>
            <w:tcBorders>
              <w:bottom w:val="single" w:sz="4" w:space="0" w:color="auto"/>
            </w:tcBorders>
            <w:shd w:val="clear" w:color="auto" w:fill="00ABA2"/>
            <w:vAlign w:val="center"/>
          </w:tcPr>
          <w:p w14:paraId="7F535F2F" w14:textId="4EE17622" w:rsidR="00EC2B0E" w:rsidRPr="00C92491" w:rsidRDefault="00800517" w:rsidP="00800517">
            <w:pPr>
              <w:pStyle w:val="Overskrift1"/>
              <w:spacing w:before="120" w:after="120"/>
              <w:jc w:val="center"/>
              <w:outlineLvl w:val="0"/>
              <w:rPr>
                <w:color w:val="808080" w:themeColor="background1" w:themeShade="80"/>
              </w:rPr>
            </w:pPr>
            <w:r w:rsidRPr="004668BF">
              <w:rPr>
                <w:rFonts w:asciiTheme="minorHAnsi" w:hAnsiTheme="minorHAnsi" w:cstheme="minorHAnsi"/>
                <w:b/>
                <w:color w:val="000000" w:themeColor="text1"/>
                <w:sz w:val="24"/>
                <w:szCs w:val="24"/>
                <w:lang w:val="en-US"/>
              </w:rPr>
              <w:t>Professional status</w:t>
            </w:r>
          </w:p>
        </w:tc>
      </w:tr>
      <w:tr w:rsidR="003358B0" w:rsidRPr="004668BF" w14:paraId="42E45A25" w14:textId="77777777" w:rsidTr="00800517">
        <w:trPr>
          <w:trHeight w:val="560"/>
        </w:trPr>
        <w:tc>
          <w:tcPr>
            <w:tcW w:w="2811" w:type="pct"/>
            <w:tcBorders>
              <w:top w:val="single" w:sz="4" w:space="0" w:color="auto"/>
            </w:tcBorders>
            <w:shd w:val="clear" w:color="auto" w:fill="F6F4F8"/>
          </w:tcPr>
          <w:p w14:paraId="0D13DE12" w14:textId="24EFC495" w:rsidR="00EC2B0E" w:rsidRPr="00EC2B0E" w:rsidRDefault="00EC2B0E" w:rsidP="00EC2B0E">
            <w:r>
              <w:t xml:space="preserve">Beskriv </w:t>
            </w:r>
            <w:r w:rsidRPr="00EC2B0E">
              <w:t>hvilke brancher og/eller erhverv den pågældende uddannelse giver adgang til at arbejde inden for. Dette vil ofte være beskrevet i studieordningens afsnit 1.1 ”Uddannelsens faglige retning og vigtigste fagområder”.</w:t>
            </w:r>
            <w:r w:rsidRPr="00EC2B0E">
              <w:br/>
            </w:r>
          </w:p>
          <w:p w14:paraId="4E3B1DD9" w14:textId="77777777" w:rsidR="00EC2B0E" w:rsidRPr="00EC2B0E" w:rsidRDefault="00EC2B0E" w:rsidP="00EC2B0E">
            <w:pPr>
              <w:rPr>
                <w:i/>
                <w:lang w:val="en-US"/>
              </w:rPr>
            </w:pPr>
            <w:proofErr w:type="spellStart"/>
            <w:r w:rsidRPr="00EC2B0E">
              <w:rPr>
                <w:i/>
                <w:lang w:val="en-US"/>
              </w:rPr>
              <w:t>Eksempel</w:t>
            </w:r>
            <w:proofErr w:type="spellEnd"/>
            <w:r w:rsidRPr="00EC2B0E">
              <w:rPr>
                <w:i/>
                <w:lang w:val="en-US"/>
              </w:rPr>
              <w:t xml:space="preserve"> </w:t>
            </w:r>
            <w:proofErr w:type="spellStart"/>
            <w:r w:rsidRPr="00EC2B0E">
              <w:rPr>
                <w:i/>
                <w:lang w:val="en-US"/>
              </w:rPr>
              <w:t>Bacheloruddannelsen</w:t>
            </w:r>
            <w:proofErr w:type="spellEnd"/>
            <w:r w:rsidRPr="00EC2B0E">
              <w:rPr>
                <w:i/>
                <w:lang w:val="en-US"/>
              </w:rPr>
              <w:t xml:space="preserve"> </w:t>
            </w:r>
            <w:proofErr w:type="spellStart"/>
            <w:r w:rsidRPr="00EC2B0E">
              <w:rPr>
                <w:i/>
                <w:lang w:val="en-US"/>
              </w:rPr>
              <w:t>i</w:t>
            </w:r>
            <w:proofErr w:type="spellEnd"/>
            <w:r w:rsidRPr="00EC2B0E">
              <w:rPr>
                <w:i/>
                <w:lang w:val="en-US"/>
              </w:rPr>
              <w:t xml:space="preserve"> </w:t>
            </w:r>
            <w:proofErr w:type="spellStart"/>
            <w:r w:rsidRPr="00EC2B0E">
              <w:rPr>
                <w:i/>
                <w:lang w:val="en-US"/>
              </w:rPr>
              <w:t>informationsvidenskab</w:t>
            </w:r>
            <w:proofErr w:type="spellEnd"/>
            <w:r w:rsidRPr="00EC2B0E">
              <w:rPr>
                <w:i/>
                <w:lang w:val="en-US"/>
              </w:rPr>
              <w:t xml:space="preserve">: </w:t>
            </w:r>
          </w:p>
          <w:p w14:paraId="4CF4E858" w14:textId="77777777" w:rsidR="00EC2B0E" w:rsidRPr="00EC2B0E" w:rsidRDefault="00EC2B0E" w:rsidP="00EC2B0E">
            <w:pPr>
              <w:rPr>
                <w:i/>
                <w:lang w:val="en-US"/>
              </w:rPr>
            </w:pPr>
            <w:r w:rsidRPr="00EC2B0E">
              <w:rPr>
                <w:i/>
                <w:lang w:val="en-US"/>
              </w:rPr>
              <w:t>”Employment opportunities for graduates range widely from consultant companies to the IT/</w:t>
            </w:r>
            <w:proofErr w:type="spellStart"/>
            <w:r w:rsidRPr="00EC2B0E">
              <w:rPr>
                <w:i/>
                <w:lang w:val="en-US"/>
              </w:rPr>
              <w:t>organisation</w:t>
            </w:r>
            <w:proofErr w:type="spellEnd"/>
            <w:r w:rsidRPr="00EC2B0E">
              <w:rPr>
                <w:i/>
                <w:lang w:val="en-US"/>
              </w:rPr>
              <w:t xml:space="preserve">/education/information departments of both private and </w:t>
            </w:r>
            <w:proofErr w:type="gramStart"/>
            <w:r w:rsidRPr="00EC2B0E">
              <w:rPr>
                <w:i/>
                <w:lang w:val="en-US"/>
              </w:rPr>
              <w:t>public-sector</w:t>
            </w:r>
            <w:proofErr w:type="gramEnd"/>
            <w:r w:rsidRPr="00EC2B0E">
              <w:rPr>
                <w:i/>
                <w:lang w:val="en-US"/>
              </w:rPr>
              <w:t xml:space="preserve"> enterprises. They can also start new companies, or gain employment in research and education enterprises. It is characteristic that graduates often work at strategic level, and that there are career opportunities at managerial level.”</w:t>
            </w:r>
          </w:p>
          <w:p w14:paraId="0027D943" w14:textId="6A8261FD" w:rsidR="003358B0" w:rsidRPr="00EC2B0E" w:rsidRDefault="00EC2B0E" w:rsidP="00EC2B0E">
            <w:pPr>
              <w:spacing w:before="120" w:after="120"/>
              <w:rPr>
                <w:rStyle w:val="Normalformular"/>
                <w:lang w:val="en-US"/>
              </w:rPr>
            </w:pPr>
            <w:r w:rsidRPr="00EC2B0E">
              <w:rPr>
                <w:i/>
                <w:lang w:val="en-US"/>
              </w:rPr>
              <w:br/>
            </w:r>
            <w:proofErr w:type="spellStart"/>
            <w:r w:rsidRPr="00EC2B0E">
              <w:rPr>
                <w:i/>
                <w:lang w:val="en-US"/>
              </w:rPr>
              <w:t>Eksempel</w:t>
            </w:r>
            <w:proofErr w:type="spellEnd"/>
            <w:r w:rsidRPr="00EC2B0E">
              <w:rPr>
                <w:i/>
                <w:lang w:val="en-US"/>
              </w:rPr>
              <w:t xml:space="preserve"> </w:t>
            </w:r>
            <w:proofErr w:type="spellStart"/>
            <w:r w:rsidRPr="00EC2B0E">
              <w:rPr>
                <w:i/>
                <w:lang w:val="en-US"/>
              </w:rPr>
              <w:t>Kandidatuddannelsen</w:t>
            </w:r>
            <w:proofErr w:type="spellEnd"/>
            <w:r w:rsidRPr="00EC2B0E">
              <w:rPr>
                <w:i/>
                <w:lang w:val="en-US"/>
              </w:rPr>
              <w:t xml:space="preserve"> </w:t>
            </w:r>
            <w:proofErr w:type="spellStart"/>
            <w:r w:rsidRPr="00EC2B0E">
              <w:rPr>
                <w:i/>
                <w:lang w:val="en-US"/>
              </w:rPr>
              <w:t>i</w:t>
            </w:r>
            <w:proofErr w:type="spellEnd"/>
            <w:r w:rsidRPr="00EC2B0E">
              <w:rPr>
                <w:i/>
                <w:lang w:val="en-US"/>
              </w:rPr>
              <w:t xml:space="preserve"> </w:t>
            </w:r>
            <w:proofErr w:type="spellStart"/>
            <w:r w:rsidRPr="00EC2B0E">
              <w:rPr>
                <w:i/>
                <w:lang w:val="en-US"/>
              </w:rPr>
              <w:t>interkulturelle</w:t>
            </w:r>
            <w:proofErr w:type="spellEnd"/>
            <w:r w:rsidRPr="00EC2B0E">
              <w:rPr>
                <w:i/>
                <w:lang w:val="en-US"/>
              </w:rPr>
              <w:t xml:space="preserve"> studier:</w:t>
            </w:r>
            <w:r w:rsidRPr="00EC2B0E">
              <w:rPr>
                <w:i/>
                <w:lang w:val="en-US"/>
              </w:rPr>
              <w:br/>
              <w:t xml:space="preserve">“The </w:t>
            </w:r>
            <w:proofErr w:type="spellStart"/>
            <w:r w:rsidRPr="00EC2B0E">
              <w:rPr>
                <w:i/>
                <w:lang w:val="en-US"/>
              </w:rPr>
              <w:t>programme</w:t>
            </w:r>
            <w:proofErr w:type="spellEnd"/>
            <w:r w:rsidRPr="00EC2B0E">
              <w:rPr>
                <w:i/>
                <w:lang w:val="en-US"/>
              </w:rPr>
              <w:t xml:space="preserve"> aims to qualify graduates for employment in the international job market in general, meaning private and public </w:t>
            </w:r>
            <w:proofErr w:type="spellStart"/>
            <w:r w:rsidRPr="00EC2B0E">
              <w:rPr>
                <w:i/>
                <w:lang w:val="en-US"/>
              </w:rPr>
              <w:t>organisations</w:t>
            </w:r>
            <w:proofErr w:type="spellEnd"/>
            <w:r w:rsidRPr="00EC2B0E">
              <w:rPr>
                <w:i/>
                <w:lang w:val="en-US"/>
              </w:rPr>
              <w:t xml:space="preserve">, political bodies, consultancy firms, advertising and media companies. Our graduates are particularly well suited to contribute to; </w:t>
            </w:r>
            <w:proofErr w:type="spellStart"/>
            <w:r w:rsidRPr="00EC2B0E">
              <w:rPr>
                <w:i/>
                <w:lang w:val="en-US"/>
              </w:rPr>
              <w:t>organisations</w:t>
            </w:r>
            <w:proofErr w:type="spellEnd"/>
            <w:r w:rsidRPr="00EC2B0E">
              <w:rPr>
                <w:i/>
                <w:lang w:val="en-US"/>
              </w:rPr>
              <w:t xml:space="preserve"> in international relations; activities in which good intercultural and cross-culture understanding is a plus; and in tasks in which a sense of how to manage processes and strong language and communication skills are needed. ”</w:t>
            </w:r>
          </w:p>
        </w:tc>
        <w:tc>
          <w:tcPr>
            <w:tcW w:w="2189" w:type="pct"/>
            <w:tcBorders>
              <w:top w:val="single" w:sz="4" w:space="0" w:color="auto"/>
            </w:tcBorders>
            <w:shd w:val="clear" w:color="auto" w:fill="auto"/>
          </w:tcPr>
          <w:p w14:paraId="13C68B8D" w14:textId="597AF6F9" w:rsidR="00BB7910" w:rsidRPr="00EC2B0E" w:rsidRDefault="00BB7910" w:rsidP="00C64646">
            <w:pPr>
              <w:rPr>
                <w:lang w:val="en-US"/>
              </w:rPr>
            </w:pPr>
          </w:p>
        </w:tc>
      </w:tr>
    </w:tbl>
    <w:p w14:paraId="5325D0D9" w14:textId="74EF8CF3" w:rsidR="00EF309F" w:rsidRPr="00EC2B0E" w:rsidRDefault="00EF309F" w:rsidP="004C09A7">
      <w:pPr>
        <w:spacing w:before="120" w:after="120" w:line="240" w:lineRule="auto"/>
        <w:rPr>
          <w:sz w:val="24"/>
          <w:szCs w:val="24"/>
          <w:lang w:val="en-US"/>
        </w:rPr>
      </w:pPr>
    </w:p>
    <w:sectPr w:rsidR="00EF309F" w:rsidRPr="00EC2B0E" w:rsidSect="00BB7910">
      <w:headerReference w:type="even" r:id="rId8"/>
      <w:headerReference w:type="default" r:id="rId9"/>
      <w:footerReference w:type="even" r:id="rId10"/>
      <w:footerReference w:type="default" r:id="rId11"/>
      <w:headerReference w:type="first" r:id="rId12"/>
      <w:footerReference w:type="first" r:id="rId13"/>
      <w:pgSz w:w="11906" w:h="16838"/>
      <w:pgMar w:top="851"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3467C" w14:textId="77777777" w:rsidR="00E62E18" w:rsidRDefault="00E62E18" w:rsidP="00A30CAF">
      <w:pPr>
        <w:spacing w:after="0" w:line="240" w:lineRule="auto"/>
      </w:pPr>
      <w:r>
        <w:separator/>
      </w:r>
    </w:p>
  </w:endnote>
  <w:endnote w:type="continuationSeparator" w:id="0">
    <w:p w14:paraId="54AB2DEF" w14:textId="77777777" w:rsidR="00E62E18" w:rsidRDefault="00E62E18" w:rsidP="00A3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03D1A" w14:textId="77777777" w:rsidR="009B410E" w:rsidRDefault="009B410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562"/>
    </w:tblGrid>
    <w:tr w:rsidR="00B27B77" w14:paraId="778AAE6D" w14:textId="77777777" w:rsidTr="0090069A">
      <w:tc>
        <w:tcPr>
          <w:tcW w:w="9356" w:type="dxa"/>
        </w:tcPr>
        <w:p w14:paraId="2482D291" w14:textId="77777777" w:rsidR="00B27B77" w:rsidRDefault="00B27B77" w:rsidP="00B27B77">
          <w:pPr>
            <w:pStyle w:val="Sidefod"/>
            <w:jc w:val="right"/>
          </w:pPr>
          <w:r>
            <w:t>Find yderligere vejledning om udarbejdelse af studieordninger på:</w:t>
          </w:r>
        </w:p>
        <w:p w14:paraId="49D4CCC2" w14:textId="50EDF05D" w:rsidR="00B27B77" w:rsidRDefault="004668BF" w:rsidP="00B27B77">
          <w:pPr>
            <w:pStyle w:val="Sidefod"/>
            <w:jc w:val="right"/>
          </w:pPr>
          <w:hyperlink r:id="rId1" w:history="1">
            <w:r w:rsidR="009B410E" w:rsidRPr="00B2603B">
              <w:rPr>
                <w:rStyle w:val="Hyperlink"/>
                <w:color w:val="03ABA1"/>
              </w:rPr>
              <w:t>www.udarbejdstudieordninger.au.dk</w:t>
            </w:r>
          </w:hyperlink>
        </w:p>
      </w:tc>
      <w:tc>
        <w:tcPr>
          <w:tcW w:w="562" w:type="dxa"/>
          <w:shd w:val="clear" w:color="auto" w:fill="00ABA2"/>
        </w:tcPr>
        <w:sdt>
          <w:sdtPr>
            <w:id w:val="1776908776"/>
            <w:docPartObj>
              <w:docPartGallery w:val="Page Numbers (Bottom of Page)"/>
              <w:docPartUnique/>
            </w:docPartObj>
          </w:sdtPr>
          <w:sdtEndPr>
            <w:rPr>
              <w:b/>
            </w:rPr>
          </w:sdtEndPr>
          <w:sdtContent>
            <w:p w14:paraId="03BFFE47" w14:textId="6786415E" w:rsidR="00B27B77" w:rsidRPr="00EE30C5" w:rsidRDefault="00B27B77" w:rsidP="00B27B77">
              <w:pPr>
                <w:pStyle w:val="Sidefod"/>
                <w:spacing w:before="120" w:after="120"/>
                <w:jc w:val="center"/>
                <w:rPr>
                  <w:b/>
                </w:rPr>
              </w:pPr>
              <w:r w:rsidRPr="00EE30C5">
                <w:rPr>
                  <w:b/>
                  <w:color w:val="FFFFFF" w:themeColor="background1"/>
                </w:rPr>
                <w:fldChar w:fldCharType="begin"/>
              </w:r>
              <w:r w:rsidRPr="00EE30C5">
                <w:rPr>
                  <w:b/>
                  <w:color w:val="FFFFFF" w:themeColor="background1"/>
                </w:rPr>
                <w:instrText>PAGE   \* MERGEFORMAT</w:instrText>
              </w:r>
              <w:r w:rsidRPr="00EE30C5">
                <w:rPr>
                  <w:b/>
                  <w:color w:val="FFFFFF" w:themeColor="background1"/>
                </w:rPr>
                <w:fldChar w:fldCharType="separate"/>
              </w:r>
              <w:r w:rsidR="004668BF">
                <w:rPr>
                  <w:b/>
                  <w:noProof/>
                  <w:color w:val="FFFFFF" w:themeColor="background1"/>
                </w:rPr>
                <w:t>1</w:t>
              </w:r>
              <w:r w:rsidRPr="00EE30C5">
                <w:rPr>
                  <w:b/>
                  <w:color w:val="FFFFFF" w:themeColor="background1"/>
                </w:rPr>
                <w:fldChar w:fldCharType="end"/>
              </w:r>
            </w:p>
          </w:sdtContent>
        </w:sdt>
      </w:tc>
    </w:tr>
  </w:tbl>
  <w:p w14:paraId="1A5250B0" w14:textId="77777777" w:rsidR="00B27B77" w:rsidRPr="00B27B77" w:rsidRDefault="00B27B77">
    <w:pPr>
      <w:pStyle w:val="Sidefod"/>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7A896" w14:textId="77777777" w:rsidR="009B410E" w:rsidRDefault="009B410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F70A0" w14:textId="77777777" w:rsidR="00E62E18" w:rsidRDefault="00E62E18" w:rsidP="00A30CAF">
      <w:pPr>
        <w:spacing w:after="0" w:line="240" w:lineRule="auto"/>
      </w:pPr>
      <w:r>
        <w:separator/>
      </w:r>
    </w:p>
  </w:footnote>
  <w:footnote w:type="continuationSeparator" w:id="0">
    <w:p w14:paraId="01625471" w14:textId="77777777" w:rsidR="00E62E18" w:rsidRDefault="00E62E18" w:rsidP="00A30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32561" w14:textId="77777777" w:rsidR="009B410E" w:rsidRDefault="009B410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9DD19" w14:textId="77777777" w:rsidR="009B410E" w:rsidRDefault="009B410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3E2D3" w14:textId="77777777" w:rsidR="009B410E" w:rsidRDefault="009B410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8E2E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5F42B5"/>
    <w:multiLevelType w:val="hybridMultilevel"/>
    <w:tmpl w:val="FB942634"/>
    <w:lvl w:ilvl="0" w:tplc="2126F5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12A8"/>
    <w:multiLevelType w:val="hybridMultilevel"/>
    <w:tmpl w:val="B6009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2A4BB9"/>
    <w:multiLevelType w:val="hybridMultilevel"/>
    <w:tmpl w:val="60E499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DD5540E"/>
    <w:multiLevelType w:val="hybridMultilevel"/>
    <w:tmpl w:val="57EA2478"/>
    <w:lvl w:ilvl="0" w:tplc="EB8E4152">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0C1F86"/>
    <w:multiLevelType w:val="hybridMultilevel"/>
    <w:tmpl w:val="1D268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997257"/>
    <w:multiLevelType w:val="hybridMultilevel"/>
    <w:tmpl w:val="ABD0F094"/>
    <w:lvl w:ilvl="0" w:tplc="3BA4904E">
      <w:start w:val="1"/>
      <w:numFmt w:val="decimal"/>
      <w:lvlText w:val="%1."/>
      <w:lvlJc w:val="left"/>
      <w:pPr>
        <w:ind w:left="720" w:hanging="360"/>
      </w:pPr>
      <w:rPr>
        <w:rFonts w:hint="default"/>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675176"/>
    <w:multiLevelType w:val="hybridMultilevel"/>
    <w:tmpl w:val="AC5A94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641526D"/>
    <w:multiLevelType w:val="hybridMultilevel"/>
    <w:tmpl w:val="CF6283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7563CDA"/>
    <w:multiLevelType w:val="hybridMultilevel"/>
    <w:tmpl w:val="849E1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C94AAF"/>
    <w:multiLevelType w:val="hybridMultilevel"/>
    <w:tmpl w:val="C37876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B21A0C"/>
    <w:multiLevelType w:val="hybridMultilevel"/>
    <w:tmpl w:val="096CE60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15:restartNumberingAfterBreak="0">
    <w:nsid w:val="2BC31D03"/>
    <w:multiLevelType w:val="hybridMultilevel"/>
    <w:tmpl w:val="57886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7732AA"/>
    <w:multiLevelType w:val="hybridMultilevel"/>
    <w:tmpl w:val="7862C0E4"/>
    <w:lvl w:ilvl="0" w:tplc="E91692F6">
      <w:start w:val="4"/>
      <w:numFmt w:val="bullet"/>
      <w:lvlText w:val="-"/>
      <w:lvlJc w:val="left"/>
      <w:pPr>
        <w:ind w:left="720" w:hanging="360"/>
      </w:pPr>
      <w:rPr>
        <w:rFonts w:ascii="Calibri" w:eastAsiaTheme="minorHAnsi"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2FF24FF"/>
    <w:multiLevelType w:val="hybridMultilevel"/>
    <w:tmpl w:val="0DC0FF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44575CA"/>
    <w:multiLevelType w:val="hybridMultilevel"/>
    <w:tmpl w:val="317CD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BA0090"/>
    <w:multiLevelType w:val="hybridMultilevel"/>
    <w:tmpl w:val="7F14AB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3DE62B5"/>
    <w:multiLevelType w:val="hybridMultilevel"/>
    <w:tmpl w:val="0EEA71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FE601F3"/>
    <w:multiLevelType w:val="hybridMultilevel"/>
    <w:tmpl w:val="F0B03FF6"/>
    <w:lvl w:ilvl="0" w:tplc="BED6C8E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6DD2B23"/>
    <w:multiLevelType w:val="hybridMultilevel"/>
    <w:tmpl w:val="3000F60E"/>
    <w:lvl w:ilvl="0" w:tplc="4204ECC6">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5B6D3F2F"/>
    <w:multiLevelType w:val="hybridMultilevel"/>
    <w:tmpl w:val="5336B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8C52D2B"/>
    <w:multiLevelType w:val="hybridMultilevel"/>
    <w:tmpl w:val="1FF68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9291BC3"/>
    <w:multiLevelType w:val="hybridMultilevel"/>
    <w:tmpl w:val="A95CD5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6C430AA0"/>
    <w:multiLevelType w:val="hybridMultilevel"/>
    <w:tmpl w:val="9FBC7D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D133A6F"/>
    <w:multiLevelType w:val="hybridMultilevel"/>
    <w:tmpl w:val="F8CA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12570BC"/>
    <w:multiLevelType w:val="hybridMultilevel"/>
    <w:tmpl w:val="5872A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C730E9"/>
    <w:multiLevelType w:val="hybridMultilevel"/>
    <w:tmpl w:val="ED86CB54"/>
    <w:lvl w:ilvl="0" w:tplc="E998179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71B0F72"/>
    <w:multiLevelType w:val="hybridMultilevel"/>
    <w:tmpl w:val="6BC4BA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7A753598"/>
    <w:multiLevelType w:val="hybridMultilevel"/>
    <w:tmpl w:val="94840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CEC3FD2"/>
    <w:multiLevelType w:val="multilevel"/>
    <w:tmpl w:val="42566740"/>
    <w:lvl w:ilvl="0">
      <w:start w:val="1"/>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0" w15:restartNumberingAfterBreak="0">
    <w:nsid w:val="7E456BFF"/>
    <w:multiLevelType w:val="hybridMultilevel"/>
    <w:tmpl w:val="B4EA17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6"/>
  </w:num>
  <w:num w:numId="4">
    <w:abstractNumId w:val="14"/>
  </w:num>
  <w:num w:numId="5">
    <w:abstractNumId w:val="19"/>
  </w:num>
  <w:num w:numId="6">
    <w:abstractNumId w:val="13"/>
  </w:num>
  <w:num w:numId="7">
    <w:abstractNumId w:val="18"/>
  </w:num>
  <w:num w:numId="8">
    <w:abstractNumId w:val="26"/>
  </w:num>
  <w:num w:numId="9">
    <w:abstractNumId w:val="6"/>
  </w:num>
  <w:num w:numId="10">
    <w:abstractNumId w:val="4"/>
  </w:num>
  <w:num w:numId="11">
    <w:abstractNumId w:val="29"/>
  </w:num>
  <w:num w:numId="12">
    <w:abstractNumId w:val="7"/>
  </w:num>
  <w:num w:numId="13">
    <w:abstractNumId w:val="8"/>
  </w:num>
  <w:num w:numId="14">
    <w:abstractNumId w:val="25"/>
  </w:num>
  <w:num w:numId="15">
    <w:abstractNumId w:val="21"/>
  </w:num>
  <w:num w:numId="16">
    <w:abstractNumId w:val="5"/>
  </w:num>
  <w:num w:numId="17">
    <w:abstractNumId w:val="28"/>
  </w:num>
  <w:num w:numId="18">
    <w:abstractNumId w:val="15"/>
  </w:num>
  <w:num w:numId="19">
    <w:abstractNumId w:val="30"/>
  </w:num>
  <w:num w:numId="20">
    <w:abstractNumId w:val="2"/>
  </w:num>
  <w:num w:numId="21">
    <w:abstractNumId w:val="24"/>
  </w:num>
  <w:num w:numId="22">
    <w:abstractNumId w:val="11"/>
  </w:num>
  <w:num w:numId="23">
    <w:abstractNumId w:val="12"/>
  </w:num>
  <w:num w:numId="24">
    <w:abstractNumId w:val="22"/>
  </w:num>
  <w:num w:numId="25">
    <w:abstractNumId w:val="20"/>
  </w:num>
  <w:num w:numId="26">
    <w:abstractNumId w:val="17"/>
  </w:num>
  <w:num w:numId="27">
    <w:abstractNumId w:val="10"/>
  </w:num>
  <w:num w:numId="28">
    <w:abstractNumId w:val="9"/>
  </w:num>
  <w:num w:numId="29">
    <w:abstractNumId w:val="23"/>
  </w:num>
  <w:num w:numId="30">
    <w:abstractNumId w:val="2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6D"/>
    <w:rsid w:val="0009134A"/>
    <w:rsid w:val="000B21F0"/>
    <w:rsid w:val="000F70BD"/>
    <w:rsid w:val="00112C72"/>
    <w:rsid w:val="00150341"/>
    <w:rsid w:val="00152337"/>
    <w:rsid w:val="00154CFE"/>
    <w:rsid w:val="00172B3D"/>
    <w:rsid w:val="001A628B"/>
    <w:rsid w:val="001B00DA"/>
    <w:rsid w:val="001F6695"/>
    <w:rsid w:val="0024296E"/>
    <w:rsid w:val="002B26F2"/>
    <w:rsid w:val="002C00B4"/>
    <w:rsid w:val="002C28C6"/>
    <w:rsid w:val="002F2065"/>
    <w:rsid w:val="00311F2E"/>
    <w:rsid w:val="00321619"/>
    <w:rsid w:val="003358B0"/>
    <w:rsid w:val="00361EF8"/>
    <w:rsid w:val="0036699D"/>
    <w:rsid w:val="003C0BE1"/>
    <w:rsid w:val="003D07BD"/>
    <w:rsid w:val="003D3348"/>
    <w:rsid w:val="003D7BD0"/>
    <w:rsid w:val="004668BF"/>
    <w:rsid w:val="00467C09"/>
    <w:rsid w:val="004C09A7"/>
    <w:rsid w:val="00502EE1"/>
    <w:rsid w:val="0051460D"/>
    <w:rsid w:val="00566B68"/>
    <w:rsid w:val="0059529A"/>
    <w:rsid w:val="00635BDA"/>
    <w:rsid w:val="00662226"/>
    <w:rsid w:val="006A6189"/>
    <w:rsid w:val="006F2050"/>
    <w:rsid w:val="006F52C4"/>
    <w:rsid w:val="007268AF"/>
    <w:rsid w:val="00777137"/>
    <w:rsid w:val="007A274F"/>
    <w:rsid w:val="007D5309"/>
    <w:rsid w:val="00800517"/>
    <w:rsid w:val="00802B0C"/>
    <w:rsid w:val="008113B5"/>
    <w:rsid w:val="0083354D"/>
    <w:rsid w:val="00886FDC"/>
    <w:rsid w:val="008F53E9"/>
    <w:rsid w:val="00916CB1"/>
    <w:rsid w:val="0092185A"/>
    <w:rsid w:val="009321A2"/>
    <w:rsid w:val="00943D2C"/>
    <w:rsid w:val="009458DC"/>
    <w:rsid w:val="00953D6B"/>
    <w:rsid w:val="0096653D"/>
    <w:rsid w:val="00985F83"/>
    <w:rsid w:val="009B01BB"/>
    <w:rsid w:val="009B410E"/>
    <w:rsid w:val="00A30CAF"/>
    <w:rsid w:val="00A326F8"/>
    <w:rsid w:val="00AD15BD"/>
    <w:rsid w:val="00AD731D"/>
    <w:rsid w:val="00AF2917"/>
    <w:rsid w:val="00B07630"/>
    <w:rsid w:val="00B27B77"/>
    <w:rsid w:val="00B37F70"/>
    <w:rsid w:val="00B46F7B"/>
    <w:rsid w:val="00B71EAA"/>
    <w:rsid w:val="00BB7910"/>
    <w:rsid w:val="00BD5F6D"/>
    <w:rsid w:val="00BE0864"/>
    <w:rsid w:val="00C05399"/>
    <w:rsid w:val="00C07789"/>
    <w:rsid w:val="00C64646"/>
    <w:rsid w:val="00CB4364"/>
    <w:rsid w:val="00CE6E6F"/>
    <w:rsid w:val="00CF59F6"/>
    <w:rsid w:val="00DA607D"/>
    <w:rsid w:val="00E00869"/>
    <w:rsid w:val="00E04CB4"/>
    <w:rsid w:val="00E31070"/>
    <w:rsid w:val="00E62E18"/>
    <w:rsid w:val="00E64A7A"/>
    <w:rsid w:val="00EC2B0E"/>
    <w:rsid w:val="00EE7F39"/>
    <w:rsid w:val="00EF309F"/>
    <w:rsid w:val="00F3696E"/>
    <w:rsid w:val="00F551C7"/>
    <w:rsid w:val="00F56507"/>
    <w:rsid w:val="00F83C0C"/>
    <w:rsid w:val="00FE76E3"/>
    <w:rsid w:val="00FE7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E29"/>
  <w15:chartTrackingRefBased/>
  <w15:docId w15:val="{EF9FB107-EA4D-43E4-8245-028855E5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67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link w:val="Overskrift3Tegn"/>
    <w:uiPriority w:val="9"/>
    <w:qFormat/>
    <w:rsid w:val="00A30CA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3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A30CAF"/>
    <w:rPr>
      <w:color w:val="808080"/>
    </w:rPr>
  </w:style>
  <w:style w:type="character" w:customStyle="1" w:styleId="Normalformular">
    <w:name w:val="Normal formular"/>
    <w:basedOn w:val="Standardskrifttypeiafsnit"/>
    <w:uiPriority w:val="1"/>
    <w:rsid w:val="00A30CAF"/>
    <w:rPr>
      <w:rFonts w:asciiTheme="minorHAnsi" w:hAnsiTheme="minorHAnsi"/>
      <w:sz w:val="22"/>
    </w:rPr>
  </w:style>
  <w:style w:type="character" w:styleId="Hyperlink">
    <w:name w:val="Hyperlink"/>
    <w:basedOn w:val="Standardskrifttypeiafsnit"/>
    <w:uiPriority w:val="99"/>
    <w:unhideWhenUsed/>
    <w:rsid w:val="00A30CAF"/>
    <w:rPr>
      <w:color w:val="0563C1" w:themeColor="hyperlink"/>
      <w:u w:val="single"/>
    </w:rPr>
  </w:style>
  <w:style w:type="character" w:customStyle="1" w:styleId="Overskrift3Tegn">
    <w:name w:val="Overskrift 3 Tegn"/>
    <w:basedOn w:val="Standardskrifttypeiafsnit"/>
    <w:link w:val="Overskrift3"/>
    <w:uiPriority w:val="9"/>
    <w:rsid w:val="00A30CAF"/>
    <w:rPr>
      <w:rFonts w:ascii="Times New Roman" w:eastAsia="Times New Roman" w:hAnsi="Times New Roman" w:cs="Times New Roman"/>
      <w:b/>
      <w:bCs/>
      <w:sz w:val="27"/>
      <w:szCs w:val="27"/>
      <w:lang w:eastAsia="da-DK"/>
    </w:rPr>
  </w:style>
  <w:style w:type="paragraph" w:styleId="Fodnotetekst">
    <w:name w:val="footnote text"/>
    <w:basedOn w:val="Normal"/>
    <w:link w:val="FodnotetekstTegn"/>
    <w:uiPriority w:val="99"/>
    <w:semiHidden/>
    <w:unhideWhenUsed/>
    <w:rsid w:val="00A30C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30CAF"/>
    <w:rPr>
      <w:sz w:val="20"/>
      <w:szCs w:val="20"/>
    </w:rPr>
  </w:style>
  <w:style w:type="character" w:styleId="Fodnotehenvisning">
    <w:name w:val="footnote reference"/>
    <w:basedOn w:val="Standardskrifttypeiafsnit"/>
    <w:uiPriority w:val="99"/>
    <w:semiHidden/>
    <w:unhideWhenUsed/>
    <w:rsid w:val="00A30CAF"/>
    <w:rPr>
      <w:vertAlign w:val="superscript"/>
    </w:rPr>
  </w:style>
  <w:style w:type="paragraph" w:customStyle="1" w:styleId="Default">
    <w:name w:val="Default"/>
    <w:rsid w:val="00A30CAF"/>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B71EAA"/>
    <w:rPr>
      <w:sz w:val="16"/>
      <w:szCs w:val="16"/>
    </w:rPr>
  </w:style>
  <w:style w:type="paragraph" w:styleId="Kommentartekst">
    <w:name w:val="annotation text"/>
    <w:basedOn w:val="Normal"/>
    <w:link w:val="KommentartekstTegn"/>
    <w:uiPriority w:val="99"/>
    <w:semiHidden/>
    <w:unhideWhenUsed/>
    <w:rsid w:val="00B71E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1EAA"/>
    <w:rPr>
      <w:sz w:val="20"/>
      <w:szCs w:val="20"/>
    </w:rPr>
  </w:style>
  <w:style w:type="paragraph" w:styleId="Kommentaremne">
    <w:name w:val="annotation subject"/>
    <w:basedOn w:val="Kommentartekst"/>
    <w:next w:val="Kommentartekst"/>
    <w:link w:val="KommentaremneTegn"/>
    <w:uiPriority w:val="99"/>
    <w:semiHidden/>
    <w:unhideWhenUsed/>
    <w:rsid w:val="00B71EAA"/>
    <w:rPr>
      <w:b/>
      <w:bCs/>
    </w:rPr>
  </w:style>
  <w:style w:type="character" w:customStyle="1" w:styleId="KommentaremneTegn">
    <w:name w:val="Kommentaremne Tegn"/>
    <w:basedOn w:val="KommentartekstTegn"/>
    <w:link w:val="Kommentaremne"/>
    <w:uiPriority w:val="99"/>
    <w:semiHidden/>
    <w:rsid w:val="00B71EAA"/>
    <w:rPr>
      <w:b/>
      <w:bCs/>
      <w:sz w:val="20"/>
      <w:szCs w:val="20"/>
    </w:rPr>
  </w:style>
  <w:style w:type="paragraph" w:styleId="Markeringsbobletekst">
    <w:name w:val="Balloon Text"/>
    <w:basedOn w:val="Normal"/>
    <w:link w:val="MarkeringsbobletekstTegn"/>
    <w:uiPriority w:val="99"/>
    <w:semiHidden/>
    <w:unhideWhenUsed/>
    <w:rsid w:val="00B71E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1EAA"/>
    <w:rPr>
      <w:rFonts w:ascii="Segoe UI" w:hAnsi="Segoe UI" w:cs="Segoe UI"/>
      <w:sz w:val="18"/>
      <w:szCs w:val="18"/>
    </w:rPr>
  </w:style>
  <w:style w:type="paragraph" w:styleId="Opstilling-punkttegn">
    <w:name w:val="List Bullet"/>
    <w:basedOn w:val="Normal"/>
    <w:uiPriority w:val="99"/>
    <w:unhideWhenUsed/>
    <w:rsid w:val="0009134A"/>
    <w:pPr>
      <w:numPr>
        <w:numId w:val="1"/>
      </w:numPr>
      <w:spacing w:after="200" w:line="276" w:lineRule="auto"/>
      <w:contextualSpacing/>
    </w:pPr>
  </w:style>
  <w:style w:type="paragraph" w:styleId="Listeafsnit">
    <w:name w:val="List Paragraph"/>
    <w:basedOn w:val="Normal"/>
    <w:uiPriority w:val="34"/>
    <w:qFormat/>
    <w:rsid w:val="0009134A"/>
    <w:pPr>
      <w:ind w:left="720"/>
      <w:contextualSpacing/>
    </w:pPr>
  </w:style>
  <w:style w:type="character" w:styleId="BesgtLink">
    <w:name w:val="FollowedHyperlink"/>
    <w:basedOn w:val="Standardskrifttypeiafsnit"/>
    <w:uiPriority w:val="99"/>
    <w:semiHidden/>
    <w:unhideWhenUsed/>
    <w:rsid w:val="00943D2C"/>
    <w:rPr>
      <w:color w:val="954F72" w:themeColor="followedHyperlink"/>
      <w:u w:val="single"/>
    </w:rPr>
  </w:style>
  <w:style w:type="paragraph" w:styleId="Korrektur">
    <w:name w:val="Revision"/>
    <w:hidden/>
    <w:uiPriority w:val="99"/>
    <w:semiHidden/>
    <w:rsid w:val="00916CB1"/>
    <w:pPr>
      <w:spacing w:after="0" w:line="240" w:lineRule="auto"/>
    </w:pPr>
  </w:style>
  <w:style w:type="character" w:customStyle="1" w:styleId="Overskrift1Tegn">
    <w:name w:val="Overskrift 1 Tegn"/>
    <w:basedOn w:val="Standardskrifttypeiafsnit"/>
    <w:link w:val="Overskrift1"/>
    <w:uiPriority w:val="9"/>
    <w:rsid w:val="00467C09"/>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467C09"/>
    <w:pPr>
      <w:jc w:val="center"/>
    </w:pPr>
    <w:rPr>
      <w:b/>
      <w:sz w:val="40"/>
      <w:szCs w:val="24"/>
    </w:rPr>
  </w:style>
  <w:style w:type="character" w:customStyle="1" w:styleId="TitelTegn">
    <w:name w:val="Titel Tegn"/>
    <w:basedOn w:val="Standardskrifttypeiafsnit"/>
    <w:link w:val="Titel"/>
    <w:uiPriority w:val="10"/>
    <w:rsid w:val="00467C09"/>
    <w:rPr>
      <w:b/>
      <w:sz w:val="40"/>
      <w:szCs w:val="24"/>
    </w:rPr>
  </w:style>
  <w:style w:type="paragraph" w:styleId="Sidehoved">
    <w:name w:val="header"/>
    <w:basedOn w:val="Normal"/>
    <w:link w:val="SidehovedTegn"/>
    <w:uiPriority w:val="99"/>
    <w:unhideWhenUsed/>
    <w:rsid w:val="00B27B77"/>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27B77"/>
  </w:style>
  <w:style w:type="paragraph" w:styleId="Sidefod">
    <w:name w:val="footer"/>
    <w:basedOn w:val="Normal"/>
    <w:link w:val="SidefodTegn"/>
    <w:uiPriority w:val="99"/>
    <w:unhideWhenUsed/>
    <w:rsid w:val="00B27B77"/>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B27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darbejdstudieordninger.au.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F4316-968E-4AF2-B818-D5E5056F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3640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Maja Sloth Thuborg</cp:lastModifiedBy>
  <cp:revision>3</cp:revision>
  <dcterms:created xsi:type="dcterms:W3CDTF">2020-01-16T20:16:00Z</dcterms:created>
  <dcterms:modified xsi:type="dcterms:W3CDTF">2020-01-16T20:25:00Z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